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58" w:type="dxa"/>
        <w:tblInd w:w="-10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958"/>
      </w:tblGrid>
      <w:tr w:rsidR="00EE341E">
        <w:tc>
          <w:tcPr>
            <w:tcW w:w="13958" w:type="dxa"/>
            <w:shd w:val="clear" w:color="auto" w:fill="auto"/>
          </w:tcPr>
          <w:p w:rsidR="00EE341E" w:rsidRDefault="00E11468">
            <w:pPr>
              <w:spacing w:line="240" w:lineRule="auto"/>
              <w:jc w:val="center"/>
            </w:pPr>
            <w:bookmarkStart w:id="0" w:name="_GoBack"/>
            <w:bookmarkEnd w:id="0"/>
            <w:r>
              <w:rPr>
                <w:noProof/>
                <w:lang w:eastAsia="en-US" w:bidi="ar-SA"/>
              </w:rPr>
              <w:drawing>
                <wp:inline distT="0" distB="0" distL="0" distR="0">
                  <wp:extent cx="7272655" cy="4827905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2655" cy="4827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341E">
        <w:tc>
          <w:tcPr>
            <w:tcW w:w="13958" w:type="dxa"/>
            <w:shd w:val="clear" w:color="auto" w:fill="auto"/>
          </w:tcPr>
          <w:p w:rsidR="00EE341E" w:rsidRDefault="00E11468">
            <w:pPr>
              <w:spacing w:line="240" w:lineRule="auto"/>
            </w:pPr>
            <w:r>
              <w:rPr>
                <w:b/>
                <w:sz w:val="20"/>
                <w:szCs w:val="20"/>
              </w:rPr>
              <w:t xml:space="preserve">Figure S8: Analysis of alternative introns differentially regulated in both </w:t>
            </w:r>
            <w:r>
              <w:rPr>
                <w:b/>
                <w:i/>
                <w:sz w:val="20"/>
                <w:szCs w:val="20"/>
              </w:rPr>
              <w:t>prp4ka</w:t>
            </w:r>
            <w:r>
              <w:rPr>
                <w:b/>
                <w:sz w:val="20"/>
                <w:szCs w:val="20"/>
              </w:rPr>
              <w:t xml:space="preserve"> and </w:t>
            </w:r>
            <w:r>
              <w:rPr>
                <w:b/>
                <w:i/>
                <w:sz w:val="20"/>
                <w:szCs w:val="20"/>
              </w:rPr>
              <w:t>sac3a</w:t>
            </w:r>
            <w:r>
              <w:rPr>
                <w:b/>
                <w:sz w:val="20"/>
                <w:szCs w:val="20"/>
              </w:rPr>
              <w:t xml:space="preserve"> mutants. </w:t>
            </w:r>
            <w:r>
              <w:rPr>
                <w:sz w:val="20"/>
                <w:szCs w:val="20"/>
              </w:rPr>
              <w:t xml:space="preserve">The intron length, guanine-cytosine (GC) content, and the 5’ and 3’ splice site scores of the alternative introns of </w:t>
            </w:r>
            <w:r>
              <w:rPr>
                <w:i/>
                <w:sz w:val="20"/>
                <w:szCs w:val="20"/>
              </w:rPr>
              <w:t>prp4ka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sac3a</w:t>
            </w:r>
            <w:r>
              <w:rPr>
                <w:sz w:val="20"/>
                <w:szCs w:val="20"/>
              </w:rPr>
              <w:t xml:space="preserve">, and of the events regulated in both mutants (shared and same) were compared. The “shared”-subgroup describes the evens regulated </w:t>
            </w:r>
            <w:proofErr w:type="gramStart"/>
            <w:r>
              <w:rPr>
                <w:sz w:val="20"/>
                <w:szCs w:val="20"/>
              </w:rPr>
              <w:t>In</w:t>
            </w:r>
            <w:proofErr w:type="gramEnd"/>
            <w:r>
              <w:rPr>
                <w:sz w:val="20"/>
                <w:szCs w:val="20"/>
              </w:rPr>
              <w:t xml:space="preserve"> both mutants and the “same”-subgroup describes the event regulated in the same manner in both mutants. </w:t>
            </w:r>
          </w:p>
        </w:tc>
      </w:tr>
    </w:tbl>
    <w:p w:rsidR="00EE341E" w:rsidRDefault="00EE341E"/>
    <w:sectPr w:rsidR="00EE341E">
      <w:pgSz w:w="16838" w:h="11906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1E"/>
    <w:rsid w:val="00E11468"/>
    <w:rsid w:val="00EE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1E197F-108E-4BA6-AFA9-6774ED5E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Cs w:val="22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line="276" w:lineRule="auto"/>
    </w:pPr>
    <w:rPr>
      <w:color w:val="00000A"/>
      <w:sz w:val="22"/>
    </w:rPr>
  </w:style>
  <w:style w:type="paragraph" w:styleId="Heading1">
    <w:name w:val="heading 1"/>
    <w:next w:val="Normal"/>
    <w:qFormat/>
    <w:pPr>
      <w:keepNext/>
      <w:keepLines/>
      <w:widowControl w:val="0"/>
      <w:spacing w:before="400" w:after="120"/>
      <w:outlineLvl w:val="0"/>
    </w:pPr>
    <w:rPr>
      <w:sz w:val="40"/>
      <w:szCs w:val="40"/>
    </w:rPr>
  </w:style>
  <w:style w:type="paragraph" w:styleId="Heading2">
    <w:name w:val="heading 2"/>
    <w:next w:val="Normal"/>
    <w:qFormat/>
    <w:pPr>
      <w:keepNext/>
      <w:keepLines/>
      <w:widowControl w:val="0"/>
      <w:spacing w:before="360" w:after="120"/>
      <w:outlineLvl w:val="1"/>
    </w:pPr>
    <w:rPr>
      <w:sz w:val="32"/>
      <w:szCs w:val="32"/>
    </w:rPr>
  </w:style>
  <w:style w:type="paragraph" w:styleId="Heading3">
    <w:name w:val="heading 3"/>
    <w:next w:val="Normal"/>
    <w:qFormat/>
    <w:pPr>
      <w:keepNext/>
      <w:keepLines/>
      <w:widowControl w:val="0"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next w:val="Normal"/>
    <w:qFormat/>
    <w:pPr>
      <w:keepNext/>
      <w:keepLines/>
      <w:widowControl w:val="0"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next w:val="Normal"/>
    <w:qFormat/>
    <w:pPr>
      <w:keepNext/>
      <w:keepLines/>
      <w:widowControl w:val="0"/>
      <w:spacing w:before="240" w:after="80"/>
      <w:outlineLvl w:val="4"/>
    </w:pPr>
    <w:rPr>
      <w:color w:val="666666"/>
      <w:sz w:val="22"/>
    </w:rPr>
  </w:style>
  <w:style w:type="paragraph" w:styleId="Heading6">
    <w:name w:val="heading 6"/>
    <w:next w:val="Normal"/>
    <w:qFormat/>
    <w:pPr>
      <w:keepNext/>
      <w:keepLines/>
      <w:widowControl w:val="0"/>
      <w:spacing w:before="240" w:after="80"/>
      <w:outlineLvl w:val="5"/>
    </w:pPr>
    <w:rPr>
      <w:i/>
      <w:color w:val="66666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LO-normal">
    <w:name w:val="LO-normal"/>
    <w:qFormat/>
    <w:rPr>
      <w:color w:val="00000A"/>
      <w:sz w:val="22"/>
    </w:rPr>
  </w:style>
  <w:style w:type="paragraph" w:styleId="Title">
    <w:name w:val="Title"/>
    <w:basedOn w:val="LO-normal"/>
    <w:next w:val="Normal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LO-normal"/>
    <w:next w:val="Normal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Windows User</cp:lastModifiedBy>
  <cp:revision>2</cp:revision>
  <dcterms:created xsi:type="dcterms:W3CDTF">2018-10-05T06:02:00Z</dcterms:created>
  <dcterms:modified xsi:type="dcterms:W3CDTF">2018-10-05T06:02:00Z</dcterms:modified>
  <dc:language>en-US</dc:language>
</cp:coreProperties>
</file>