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CA2A3" w14:textId="176D7F84" w:rsidR="003A6309" w:rsidRPr="003C325D" w:rsidRDefault="00FD2ACB">
      <w:pPr>
        <w:rPr>
          <w:b/>
          <w:lang w:val="en-US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529"/>
        <w:gridCol w:w="1018"/>
        <w:gridCol w:w="1276"/>
        <w:gridCol w:w="5670"/>
      </w:tblGrid>
      <w:tr w:rsidR="00530053" w14:paraId="4DD6D246" w14:textId="77777777" w:rsidTr="00530053">
        <w:trPr>
          <w:trHeight w:val="405"/>
        </w:trPr>
        <w:tc>
          <w:tcPr>
            <w:tcW w:w="9493" w:type="dxa"/>
            <w:gridSpan w:val="4"/>
            <w:vAlign w:val="center"/>
          </w:tcPr>
          <w:p w14:paraId="4FD8DE59" w14:textId="4AFAC96C" w:rsidR="00530053" w:rsidRDefault="00530053" w:rsidP="00530053">
            <w:pPr>
              <w:rPr>
                <w:b/>
              </w:rPr>
            </w:pPr>
            <w:bookmarkStart w:id="0" w:name="OLE_LINK172"/>
            <w:bookmarkStart w:id="1" w:name="OLE_LINK173"/>
            <w:r>
              <w:rPr>
                <w:b/>
                <w:lang w:val="en-US"/>
              </w:rPr>
              <w:t>Table S1.</w:t>
            </w:r>
            <w:bookmarkEnd w:id="0"/>
            <w:bookmarkEnd w:id="1"/>
            <w:r w:rsidRPr="003C325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</w:t>
            </w:r>
            <w:r w:rsidRPr="003C325D">
              <w:rPr>
                <w:b/>
                <w:lang w:val="en-US"/>
              </w:rPr>
              <w:t>ransgenic gRNA constructs and properties</w:t>
            </w:r>
            <w:r>
              <w:rPr>
                <w:b/>
                <w:lang w:val="en-US"/>
              </w:rPr>
              <w:t>.</w:t>
            </w:r>
          </w:p>
        </w:tc>
      </w:tr>
      <w:tr w:rsidR="00A65A87" w14:paraId="76E747FB" w14:textId="77777777" w:rsidTr="00530053">
        <w:tc>
          <w:tcPr>
            <w:tcW w:w="1529" w:type="dxa"/>
          </w:tcPr>
          <w:p w14:paraId="6398099A" w14:textId="2F4D9DD9" w:rsidR="00A65A87" w:rsidRPr="003C325D" w:rsidRDefault="00530053" w:rsidP="000C5D9A">
            <w:pPr>
              <w:rPr>
                <w:b/>
              </w:rPr>
            </w:pPr>
            <w:r>
              <w:rPr>
                <w:b/>
              </w:rPr>
              <w:t>c</w:t>
            </w:r>
            <w:r w:rsidR="00A65A87" w:rsidRPr="003C325D">
              <w:rPr>
                <w:b/>
              </w:rPr>
              <w:t>onstruct</w:t>
            </w:r>
          </w:p>
        </w:tc>
        <w:tc>
          <w:tcPr>
            <w:tcW w:w="1018" w:type="dxa"/>
          </w:tcPr>
          <w:p w14:paraId="5AB53E9A" w14:textId="77777777" w:rsidR="00A65A87" w:rsidRPr="003C325D" w:rsidRDefault="00A65A87" w:rsidP="000C5D9A">
            <w:pPr>
              <w:rPr>
                <w:b/>
              </w:rPr>
            </w:pPr>
            <w:r w:rsidRPr="003C325D">
              <w:rPr>
                <w:b/>
              </w:rPr>
              <w:t>gRNA</w:t>
            </w:r>
          </w:p>
        </w:tc>
        <w:tc>
          <w:tcPr>
            <w:tcW w:w="1276" w:type="dxa"/>
          </w:tcPr>
          <w:p w14:paraId="762F8E4E" w14:textId="4991AD1D" w:rsidR="00A65A87" w:rsidRPr="003C325D" w:rsidRDefault="00530053" w:rsidP="000C5D9A">
            <w:pPr>
              <w:rPr>
                <w:b/>
              </w:rPr>
            </w:pPr>
            <w:r>
              <w:rPr>
                <w:b/>
              </w:rPr>
              <w:t>v</w:t>
            </w:r>
            <w:r w:rsidR="00A65A87" w:rsidRPr="003C325D">
              <w:rPr>
                <w:b/>
              </w:rPr>
              <w:t xml:space="preserve">ector </w:t>
            </w:r>
          </w:p>
        </w:tc>
        <w:tc>
          <w:tcPr>
            <w:tcW w:w="5670" w:type="dxa"/>
          </w:tcPr>
          <w:p w14:paraId="197349EA" w14:textId="625E8258" w:rsidR="00A65A87" w:rsidRPr="003C325D" w:rsidRDefault="00530053" w:rsidP="000C5D9A">
            <w:pPr>
              <w:rPr>
                <w:b/>
              </w:rPr>
            </w:pPr>
            <w:r>
              <w:rPr>
                <w:b/>
              </w:rPr>
              <w:t>c</w:t>
            </w:r>
            <w:r w:rsidR="00A65A87" w:rsidRPr="003C325D">
              <w:rPr>
                <w:b/>
              </w:rPr>
              <w:t>haracteristics</w:t>
            </w:r>
          </w:p>
        </w:tc>
      </w:tr>
      <w:tr w:rsidR="00A65A87" w14:paraId="14B18593" w14:textId="77777777" w:rsidTr="00530053">
        <w:trPr>
          <w:trHeight w:val="388"/>
        </w:trPr>
        <w:tc>
          <w:tcPr>
            <w:tcW w:w="9493" w:type="dxa"/>
            <w:gridSpan w:val="4"/>
            <w:vAlign w:val="center"/>
          </w:tcPr>
          <w:p w14:paraId="21C16E4F" w14:textId="77777777" w:rsidR="00A65A87" w:rsidRPr="00501F92" w:rsidRDefault="00A65A87" w:rsidP="00530053">
            <w:pPr>
              <w:rPr>
                <w:i/>
              </w:rPr>
            </w:pPr>
            <w:r w:rsidRPr="00501F92">
              <w:rPr>
                <w:i/>
              </w:rPr>
              <w:t>disembodied (dib)</w:t>
            </w:r>
          </w:p>
        </w:tc>
      </w:tr>
      <w:tr w:rsidR="00A65A87" w14:paraId="366FE5D2" w14:textId="77777777" w:rsidTr="00530053">
        <w:tc>
          <w:tcPr>
            <w:tcW w:w="1529" w:type="dxa"/>
          </w:tcPr>
          <w:p w14:paraId="795E06B4" w14:textId="15FF1490" w:rsidR="00A65A87" w:rsidRPr="00530053" w:rsidRDefault="00530053" w:rsidP="000C5D9A">
            <w:pPr>
              <w:rPr>
                <w:i/>
              </w:rPr>
            </w:pPr>
            <w:bookmarkStart w:id="2" w:name="OLE_LINK168"/>
            <w:bookmarkStart w:id="3" w:name="OLE_LINK169"/>
            <w:r w:rsidRPr="00530053">
              <w:rPr>
                <w:i/>
              </w:rPr>
              <w:t>dU6-</w:t>
            </w:r>
            <w:bookmarkEnd w:id="2"/>
            <w:bookmarkEnd w:id="3"/>
            <w:r w:rsidR="00A65A87" w:rsidRPr="00530053">
              <w:rPr>
                <w:i/>
              </w:rPr>
              <w:t>dib</w:t>
            </w:r>
            <w:r w:rsidR="00A65A87" w:rsidRPr="00530053">
              <w:rPr>
                <w:i/>
                <w:vertAlign w:val="superscript"/>
              </w:rPr>
              <w:t>gR1</w:t>
            </w:r>
          </w:p>
        </w:tc>
        <w:tc>
          <w:tcPr>
            <w:tcW w:w="1018" w:type="dxa"/>
          </w:tcPr>
          <w:p w14:paraId="27343156" w14:textId="77777777" w:rsidR="00A65A87" w:rsidRDefault="00A65A87" w:rsidP="000C5D9A">
            <w:r>
              <w:t>2 (CDS)</w:t>
            </w:r>
          </w:p>
        </w:tc>
        <w:tc>
          <w:tcPr>
            <w:tcW w:w="1276" w:type="dxa"/>
          </w:tcPr>
          <w:p w14:paraId="18557328" w14:textId="77777777" w:rsidR="00A65A87" w:rsidRDefault="00A65A87" w:rsidP="000C5D9A">
            <w:r>
              <w:t>pCFD5</w:t>
            </w:r>
          </w:p>
        </w:tc>
        <w:tc>
          <w:tcPr>
            <w:tcW w:w="5670" w:type="dxa"/>
          </w:tcPr>
          <w:p w14:paraId="212F80E0" w14:textId="2D62860B" w:rsidR="00A65A87" w:rsidRDefault="00530053" w:rsidP="000C5D9A">
            <w:r>
              <w:t>u</w:t>
            </w:r>
            <w:r w:rsidR="00A65A87">
              <w:t>biquitous expression, target</w:t>
            </w:r>
            <w:r>
              <w:t>s</w:t>
            </w:r>
            <w:r w:rsidR="00A65A87">
              <w:t xml:space="preserve"> CDS</w:t>
            </w:r>
          </w:p>
        </w:tc>
      </w:tr>
      <w:tr w:rsidR="00A65A87" w14:paraId="5B9AB38C" w14:textId="77777777" w:rsidTr="00530053">
        <w:tc>
          <w:tcPr>
            <w:tcW w:w="1529" w:type="dxa"/>
          </w:tcPr>
          <w:p w14:paraId="7DD077F6" w14:textId="4D22D1CE" w:rsidR="00A65A87" w:rsidRPr="00530053" w:rsidRDefault="00530053" w:rsidP="000C5D9A">
            <w:pPr>
              <w:rPr>
                <w:i/>
              </w:rPr>
            </w:pPr>
            <w:r w:rsidRPr="00530053">
              <w:rPr>
                <w:i/>
              </w:rPr>
              <w:t>dU6-</w:t>
            </w:r>
            <w:r w:rsidR="00A65A87" w:rsidRPr="00530053">
              <w:rPr>
                <w:i/>
              </w:rPr>
              <w:t>dib</w:t>
            </w:r>
            <w:r w:rsidR="00A65A87" w:rsidRPr="00530053">
              <w:rPr>
                <w:i/>
                <w:vertAlign w:val="superscript"/>
              </w:rPr>
              <w:t>gR2</w:t>
            </w:r>
          </w:p>
        </w:tc>
        <w:tc>
          <w:tcPr>
            <w:tcW w:w="1018" w:type="dxa"/>
          </w:tcPr>
          <w:p w14:paraId="41970DEE" w14:textId="77777777" w:rsidR="00A65A87" w:rsidRDefault="00A65A87" w:rsidP="000C5D9A">
            <w:r>
              <w:t>4 (CDS)</w:t>
            </w:r>
          </w:p>
        </w:tc>
        <w:tc>
          <w:tcPr>
            <w:tcW w:w="1276" w:type="dxa"/>
          </w:tcPr>
          <w:p w14:paraId="5AFE3D26" w14:textId="77777777" w:rsidR="00A65A87" w:rsidRDefault="00A65A87" w:rsidP="000C5D9A">
            <w:r>
              <w:t>pCFD5</w:t>
            </w:r>
          </w:p>
        </w:tc>
        <w:tc>
          <w:tcPr>
            <w:tcW w:w="5670" w:type="dxa"/>
          </w:tcPr>
          <w:p w14:paraId="667CC4E7" w14:textId="083CDD7D" w:rsidR="00A65A87" w:rsidRDefault="00530053" w:rsidP="000C5D9A">
            <w:r>
              <w:t>u</w:t>
            </w:r>
            <w:r w:rsidR="00A65A87">
              <w:t xml:space="preserve">biquitous expression, for </w:t>
            </w:r>
            <w:proofErr w:type="spellStart"/>
            <w:r>
              <w:t>FokI</w:t>
            </w:r>
            <w:proofErr w:type="spellEnd"/>
            <w:r>
              <w:t>-based approach</w:t>
            </w:r>
            <w:r w:rsidR="00FD2ACB">
              <w:t xml:space="preserve"> (</w:t>
            </w:r>
            <w:proofErr w:type="spellStart"/>
            <w:r w:rsidR="00FD2ACB">
              <w:t>en_dFC</w:t>
            </w:r>
            <w:proofErr w:type="spellEnd"/>
            <w:r w:rsidR="00FD2ACB">
              <w:t>)</w:t>
            </w:r>
          </w:p>
        </w:tc>
      </w:tr>
      <w:tr w:rsidR="00A65A87" w14:paraId="2B169DF4" w14:textId="77777777" w:rsidTr="00530053">
        <w:tc>
          <w:tcPr>
            <w:tcW w:w="1529" w:type="dxa"/>
          </w:tcPr>
          <w:p w14:paraId="58E6F5B3" w14:textId="63281F6B" w:rsidR="00A65A87" w:rsidRPr="00530053" w:rsidRDefault="00530053" w:rsidP="000C5D9A">
            <w:pPr>
              <w:rPr>
                <w:i/>
              </w:rPr>
            </w:pPr>
            <w:r w:rsidRPr="00530053">
              <w:rPr>
                <w:i/>
              </w:rPr>
              <w:t>PG1-</w:t>
            </w:r>
            <w:r w:rsidR="00A65A87" w:rsidRPr="00530053">
              <w:rPr>
                <w:i/>
              </w:rPr>
              <w:t>dib</w:t>
            </w:r>
            <w:r w:rsidR="00A65A87" w:rsidRPr="00530053">
              <w:rPr>
                <w:i/>
                <w:vertAlign w:val="superscript"/>
              </w:rPr>
              <w:t>gR1</w:t>
            </w:r>
          </w:p>
        </w:tc>
        <w:tc>
          <w:tcPr>
            <w:tcW w:w="1018" w:type="dxa"/>
          </w:tcPr>
          <w:p w14:paraId="2F6CA6D3" w14:textId="77777777" w:rsidR="00A65A87" w:rsidRDefault="00A65A87" w:rsidP="000C5D9A">
            <w:r>
              <w:t>2 (CDS)</w:t>
            </w:r>
          </w:p>
        </w:tc>
        <w:tc>
          <w:tcPr>
            <w:tcW w:w="1276" w:type="dxa"/>
          </w:tcPr>
          <w:p w14:paraId="7648BB79" w14:textId="5A90AB29" w:rsidR="00A65A87" w:rsidRDefault="00530053" w:rsidP="000C5D9A">
            <w:r>
              <w:t>PG1-</w:t>
            </w:r>
            <w:r w:rsidR="00A65A87">
              <w:t>gRNA</w:t>
            </w:r>
          </w:p>
        </w:tc>
        <w:tc>
          <w:tcPr>
            <w:tcW w:w="5670" w:type="dxa"/>
          </w:tcPr>
          <w:p w14:paraId="5F4D1474" w14:textId="37BD0FA4" w:rsidR="00A65A87" w:rsidRPr="00DB4DE2" w:rsidRDefault="00530053" w:rsidP="000C5D9A">
            <w:pPr>
              <w:rPr>
                <w:vertAlign w:val="superscript"/>
              </w:rPr>
            </w:pPr>
            <w:r>
              <w:t>PG-</w:t>
            </w:r>
            <w:r w:rsidR="00A65A87">
              <w:t>specific expression, target</w:t>
            </w:r>
            <w:r>
              <w:t>s</w:t>
            </w:r>
            <w:r w:rsidR="00A65A87">
              <w:t xml:space="preserve"> same sites as </w:t>
            </w:r>
            <w:r w:rsidRPr="00530053">
              <w:rPr>
                <w:i/>
              </w:rPr>
              <w:t>dU6-</w:t>
            </w:r>
            <w:r w:rsidR="00A65A87" w:rsidRPr="00530053">
              <w:rPr>
                <w:i/>
              </w:rPr>
              <w:t>dib</w:t>
            </w:r>
            <w:r w:rsidR="00A65A87" w:rsidRPr="00530053">
              <w:rPr>
                <w:i/>
                <w:vertAlign w:val="superscript"/>
              </w:rPr>
              <w:t>gR1</w:t>
            </w:r>
          </w:p>
        </w:tc>
      </w:tr>
      <w:tr w:rsidR="00A65A87" w14:paraId="1E8F4EF4" w14:textId="77777777" w:rsidTr="00530053">
        <w:tc>
          <w:tcPr>
            <w:tcW w:w="1529" w:type="dxa"/>
          </w:tcPr>
          <w:p w14:paraId="1DB65E21" w14:textId="3C248461" w:rsidR="00A65A87" w:rsidRPr="00530053" w:rsidRDefault="00530053" w:rsidP="000C5D9A">
            <w:pPr>
              <w:rPr>
                <w:i/>
              </w:rPr>
            </w:pPr>
            <w:r w:rsidRPr="00530053">
              <w:rPr>
                <w:i/>
              </w:rPr>
              <w:t>PG2-</w:t>
            </w:r>
            <w:r w:rsidR="00A65A87" w:rsidRPr="00530053">
              <w:rPr>
                <w:i/>
              </w:rPr>
              <w:t>dib</w:t>
            </w:r>
            <w:r w:rsidR="00A65A87" w:rsidRPr="00530053">
              <w:rPr>
                <w:i/>
                <w:vertAlign w:val="superscript"/>
              </w:rPr>
              <w:t>gR1</w:t>
            </w:r>
          </w:p>
        </w:tc>
        <w:tc>
          <w:tcPr>
            <w:tcW w:w="1018" w:type="dxa"/>
          </w:tcPr>
          <w:p w14:paraId="7845CC36" w14:textId="77777777" w:rsidR="00A65A87" w:rsidRDefault="00A65A87" w:rsidP="000C5D9A">
            <w:r>
              <w:t>2 (CDS)</w:t>
            </w:r>
          </w:p>
        </w:tc>
        <w:tc>
          <w:tcPr>
            <w:tcW w:w="1276" w:type="dxa"/>
          </w:tcPr>
          <w:p w14:paraId="28B8249C" w14:textId="403617F5" w:rsidR="00A65A87" w:rsidRDefault="00530053" w:rsidP="000C5D9A">
            <w:r>
              <w:t>PG2-</w:t>
            </w:r>
            <w:r w:rsidR="00A65A87">
              <w:t>gRNA</w:t>
            </w:r>
          </w:p>
        </w:tc>
        <w:tc>
          <w:tcPr>
            <w:tcW w:w="5670" w:type="dxa"/>
          </w:tcPr>
          <w:p w14:paraId="3B614B37" w14:textId="6B0DD088" w:rsidR="00A65A87" w:rsidRPr="00DB4DE2" w:rsidRDefault="00530053" w:rsidP="000C5D9A">
            <w:pPr>
              <w:rPr>
                <w:vertAlign w:val="superscript"/>
              </w:rPr>
            </w:pPr>
            <w:r>
              <w:t>PG-</w:t>
            </w:r>
            <w:r w:rsidR="00A65A87">
              <w:t>specific expression, target</w:t>
            </w:r>
            <w:r>
              <w:t>s</w:t>
            </w:r>
            <w:r w:rsidR="00A65A87">
              <w:t xml:space="preserve"> same sites as </w:t>
            </w:r>
            <w:r w:rsidRPr="00530053">
              <w:rPr>
                <w:i/>
              </w:rPr>
              <w:t>dU6-</w:t>
            </w:r>
            <w:r w:rsidR="00A65A87" w:rsidRPr="00530053">
              <w:rPr>
                <w:i/>
              </w:rPr>
              <w:t>dib</w:t>
            </w:r>
            <w:r w:rsidR="00A65A87" w:rsidRPr="00530053">
              <w:rPr>
                <w:i/>
                <w:vertAlign w:val="superscript"/>
              </w:rPr>
              <w:t>gR1</w:t>
            </w:r>
          </w:p>
        </w:tc>
      </w:tr>
      <w:tr w:rsidR="00A65A87" w14:paraId="0E9C1C65" w14:textId="77777777" w:rsidTr="00530053">
        <w:tc>
          <w:tcPr>
            <w:tcW w:w="1529" w:type="dxa"/>
          </w:tcPr>
          <w:p w14:paraId="7AD4B589" w14:textId="7D732E7C" w:rsidR="00A65A87" w:rsidRPr="00530053" w:rsidRDefault="00530053" w:rsidP="000C5D9A">
            <w:pPr>
              <w:rPr>
                <w:i/>
              </w:rPr>
            </w:pPr>
            <w:r w:rsidRPr="00530053">
              <w:rPr>
                <w:i/>
              </w:rPr>
              <w:t>PG3-</w:t>
            </w:r>
            <w:r w:rsidR="00A65A87" w:rsidRPr="00530053">
              <w:rPr>
                <w:i/>
              </w:rPr>
              <w:t>dib</w:t>
            </w:r>
            <w:r w:rsidR="00A65A87" w:rsidRPr="00530053">
              <w:rPr>
                <w:i/>
                <w:vertAlign w:val="superscript"/>
              </w:rPr>
              <w:t>gR1</w:t>
            </w:r>
          </w:p>
        </w:tc>
        <w:tc>
          <w:tcPr>
            <w:tcW w:w="1018" w:type="dxa"/>
          </w:tcPr>
          <w:p w14:paraId="4D45533D" w14:textId="77777777" w:rsidR="00A65A87" w:rsidRDefault="00A65A87" w:rsidP="000C5D9A">
            <w:r>
              <w:t>2 (CDS)</w:t>
            </w:r>
          </w:p>
        </w:tc>
        <w:tc>
          <w:tcPr>
            <w:tcW w:w="1276" w:type="dxa"/>
          </w:tcPr>
          <w:p w14:paraId="77971868" w14:textId="1C7DABB8" w:rsidR="00A65A87" w:rsidRDefault="00530053" w:rsidP="000C5D9A">
            <w:r>
              <w:t>PG3-</w:t>
            </w:r>
            <w:r w:rsidR="00A65A87">
              <w:t>gRNA</w:t>
            </w:r>
          </w:p>
        </w:tc>
        <w:tc>
          <w:tcPr>
            <w:tcW w:w="5670" w:type="dxa"/>
          </w:tcPr>
          <w:p w14:paraId="7A905865" w14:textId="39DFDBBA" w:rsidR="00A65A87" w:rsidRPr="00DB4DE2" w:rsidRDefault="00530053" w:rsidP="000C5D9A">
            <w:pPr>
              <w:rPr>
                <w:vertAlign w:val="superscript"/>
              </w:rPr>
            </w:pPr>
            <w:r>
              <w:t>PG-</w:t>
            </w:r>
            <w:r w:rsidR="00A65A87">
              <w:t>specific expression, target</w:t>
            </w:r>
            <w:r>
              <w:t>s</w:t>
            </w:r>
            <w:r w:rsidR="00A65A87">
              <w:t xml:space="preserve"> same sites as </w:t>
            </w:r>
            <w:r w:rsidRPr="00530053">
              <w:rPr>
                <w:i/>
              </w:rPr>
              <w:t>dU6-</w:t>
            </w:r>
            <w:r w:rsidR="00A65A87" w:rsidRPr="00530053">
              <w:rPr>
                <w:i/>
              </w:rPr>
              <w:t>dib</w:t>
            </w:r>
            <w:r w:rsidR="00A65A87" w:rsidRPr="00530053">
              <w:rPr>
                <w:i/>
                <w:vertAlign w:val="superscript"/>
              </w:rPr>
              <w:t>gR1</w:t>
            </w:r>
          </w:p>
        </w:tc>
      </w:tr>
      <w:tr w:rsidR="00A65A87" w14:paraId="22E51882" w14:textId="77777777" w:rsidTr="00530053">
        <w:tc>
          <w:tcPr>
            <w:tcW w:w="1529" w:type="dxa"/>
          </w:tcPr>
          <w:p w14:paraId="15FA125B" w14:textId="203175CE" w:rsidR="00A65A87" w:rsidRPr="00530053" w:rsidRDefault="00530053" w:rsidP="000C5D9A">
            <w:pPr>
              <w:rPr>
                <w:i/>
              </w:rPr>
            </w:pPr>
            <w:r w:rsidRPr="00530053">
              <w:rPr>
                <w:i/>
              </w:rPr>
              <w:t>dib-</w:t>
            </w:r>
            <w:r w:rsidR="00A65A87" w:rsidRPr="00530053">
              <w:rPr>
                <w:i/>
              </w:rPr>
              <w:t>TSS</w:t>
            </w:r>
            <w:r w:rsidR="00A65A87" w:rsidRPr="00530053">
              <w:rPr>
                <w:i/>
                <w:vertAlign w:val="superscript"/>
              </w:rPr>
              <w:t>-110</w:t>
            </w:r>
          </w:p>
        </w:tc>
        <w:tc>
          <w:tcPr>
            <w:tcW w:w="1018" w:type="dxa"/>
          </w:tcPr>
          <w:p w14:paraId="359EE15C" w14:textId="77777777" w:rsidR="00A65A87" w:rsidRDefault="00A65A87" w:rsidP="000C5D9A">
            <w:r>
              <w:t>1 (TSS)</w:t>
            </w:r>
          </w:p>
        </w:tc>
        <w:tc>
          <w:tcPr>
            <w:tcW w:w="1276" w:type="dxa"/>
          </w:tcPr>
          <w:p w14:paraId="2B385805" w14:textId="77777777" w:rsidR="00A65A87" w:rsidRDefault="00A65A87" w:rsidP="000C5D9A">
            <w:r>
              <w:t>pCFD5</w:t>
            </w:r>
          </w:p>
        </w:tc>
        <w:tc>
          <w:tcPr>
            <w:tcW w:w="5670" w:type="dxa"/>
          </w:tcPr>
          <w:p w14:paraId="2B958A3D" w14:textId="2AA5ED60" w:rsidR="00A65A87" w:rsidRDefault="00530053" w:rsidP="000C5D9A">
            <w:r>
              <w:t>u</w:t>
            </w:r>
            <w:r w:rsidR="00A65A87">
              <w:t>biquitous expression, target</w:t>
            </w:r>
            <w:r>
              <w:t>s</w:t>
            </w:r>
            <w:r w:rsidR="00A65A87">
              <w:t xml:space="preserve"> upstream TSS</w:t>
            </w:r>
          </w:p>
        </w:tc>
      </w:tr>
      <w:tr w:rsidR="00A65A87" w14:paraId="6708725C" w14:textId="77777777" w:rsidTr="00530053">
        <w:tc>
          <w:tcPr>
            <w:tcW w:w="1529" w:type="dxa"/>
          </w:tcPr>
          <w:p w14:paraId="49E9FE9B" w14:textId="0A10503C" w:rsidR="00A65A87" w:rsidRPr="00530053" w:rsidRDefault="00530053" w:rsidP="000C5D9A">
            <w:pPr>
              <w:rPr>
                <w:i/>
              </w:rPr>
            </w:pPr>
            <w:r w:rsidRPr="00530053">
              <w:rPr>
                <w:i/>
              </w:rPr>
              <w:t>dib-</w:t>
            </w:r>
            <w:r w:rsidR="00A65A87" w:rsidRPr="00530053">
              <w:rPr>
                <w:i/>
              </w:rPr>
              <w:t>TSS</w:t>
            </w:r>
            <w:r w:rsidR="00A65A87" w:rsidRPr="00530053">
              <w:rPr>
                <w:i/>
                <w:vertAlign w:val="superscript"/>
              </w:rPr>
              <w:t>-482</w:t>
            </w:r>
          </w:p>
        </w:tc>
        <w:tc>
          <w:tcPr>
            <w:tcW w:w="1018" w:type="dxa"/>
          </w:tcPr>
          <w:p w14:paraId="30D94FCF" w14:textId="77777777" w:rsidR="00A65A87" w:rsidRDefault="00A65A87" w:rsidP="000C5D9A">
            <w:r>
              <w:t>1 (TSS)</w:t>
            </w:r>
          </w:p>
        </w:tc>
        <w:tc>
          <w:tcPr>
            <w:tcW w:w="1276" w:type="dxa"/>
          </w:tcPr>
          <w:p w14:paraId="1BD78753" w14:textId="77777777" w:rsidR="00A65A87" w:rsidRDefault="00A65A87" w:rsidP="000C5D9A">
            <w:r>
              <w:t>pCFD5</w:t>
            </w:r>
          </w:p>
        </w:tc>
        <w:tc>
          <w:tcPr>
            <w:tcW w:w="5670" w:type="dxa"/>
          </w:tcPr>
          <w:p w14:paraId="366F4DCD" w14:textId="4B5DDFDF" w:rsidR="00A65A87" w:rsidRDefault="00530053" w:rsidP="000C5D9A">
            <w:r>
              <w:t>u</w:t>
            </w:r>
            <w:r w:rsidR="00A65A87">
              <w:t>biquitous expression, target</w:t>
            </w:r>
            <w:r>
              <w:t>s</w:t>
            </w:r>
            <w:r w:rsidR="00A65A87">
              <w:t xml:space="preserve"> upstream TSS</w:t>
            </w:r>
          </w:p>
        </w:tc>
      </w:tr>
      <w:tr w:rsidR="00A65A87" w14:paraId="197C4119" w14:textId="77777777" w:rsidTr="00530053">
        <w:trPr>
          <w:trHeight w:val="437"/>
        </w:trPr>
        <w:tc>
          <w:tcPr>
            <w:tcW w:w="9493" w:type="dxa"/>
            <w:gridSpan w:val="4"/>
            <w:vAlign w:val="center"/>
          </w:tcPr>
          <w:p w14:paraId="4A1818CD" w14:textId="77777777" w:rsidR="00A65A87" w:rsidRPr="00501F92" w:rsidRDefault="00A65A87" w:rsidP="00530053">
            <w:r>
              <w:rPr>
                <w:i/>
              </w:rPr>
              <w:t>phantom (</w:t>
            </w:r>
            <w:proofErr w:type="spellStart"/>
            <w:r>
              <w:rPr>
                <w:i/>
              </w:rPr>
              <w:t>phm</w:t>
            </w:r>
            <w:proofErr w:type="spellEnd"/>
            <w:r>
              <w:rPr>
                <w:i/>
              </w:rPr>
              <w:t>)</w:t>
            </w:r>
          </w:p>
        </w:tc>
      </w:tr>
      <w:tr w:rsidR="00A65A87" w14:paraId="453D5B93" w14:textId="77777777" w:rsidTr="00530053">
        <w:tc>
          <w:tcPr>
            <w:tcW w:w="1529" w:type="dxa"/>
          </w:tcPr>
          <w:p w14:paraId="4EDA20A4" w14:textId="36829540" w:rsidR="00A65A87" w:rsidRPr="00530053" w:rsidRDefault="00530053" w:rsidP="000C5D9A">
            <w:pPr>
              <w:rPr>
                <w:i/>
                <w:vertAlign w:val="superscript"/>
              </w:rPr>
            </w:pPr>
            <w:r w:rsidRPr="00530053">
              <w:rPr>
                <w:i/>
              </w:rPr>
              <w:t>dU6-p</w:t>
            </w:r>
            <w:r w:rsidR="00A65A87" w:rsidRPr="00530053">
              <w:rPr>
                <w:i/>
              </w:rPr>
              <w:t>hm</w:t>
            </w:r>
            <w:r w:rsidR="00A65A87" w:rsidRPr="00530053">
              <w:rPr>
                <w:i/>
                <w:vertAlign w:val="superscript"/>
              </w:rPr>
              <w:t>gR1</w:t>
            </w:r>
          </w:p>
        </w:tc>
        <w:tc>
          <w:tcPr>
            <w:tcW w:w="1018" w:type="dxa"/>
          </w:tcPr>
          <w:p w14:paraId="21231523" w14:textId="77777777" w:rsidR="00A65A87" w:rsidRDefault="00A65A87" w:rsidP="000C5D9A">
            <w:r>
              <w:t>2 (CDS)</w:t>
            </w:r>
          </w:p>
        </w:tc>
        <w:tc>
          <w:tcPr>
            <w:tcW w:w="1276" w:type="dxa"/>
          </w:tcPr>
          <w:p w14:paraId="59EEA639" w14:textId="77777777" w:rsidR="00A65A87" w:rsidRDefault="00A65A87" w:rsidP="000C5D9A">
            <w:r>
              <w:t>pCFD5</w:t>
            </w:r>
          </w:p>
        </w:tc>
        <w:tc>
          <w:tcPr>
            <w:tcW w:w="5670" w:type="dxa"/>
          </w:tcPr>
          <w:p w14:paraId="336BAFA0" w14:textId="7D2070B4" w:rsidR="00A65A87" w:rsidRDefault="00530053" w:rsidP="000C5D9A">
            <w:r>
              <w:t>u</w:t>
            </w:r>
            <w:r w:rsidR="00A65A87">
              <w:t>biquitous expression, target</w:t>
            </w:r>
            <w:r>
              <w:t>s</w:t>
            </w:r>
            <w:r w:rsidR="00A65A87">
              <w:t xml:space="preserve"> CDS</w:t>
            </w:r>
          </w:p>
        </w:tc>
      </w:tr>
      <w:tr w:rsidR="00A65A87" w14:paraId="44FBF1E5" w14:textId="77777777" w:rsidTr="00530053">
        <w:tc>
          <w:tcPr>
            <w:tcW w:w="1529" w:type="dxa"/>
          </w:tcPr>
          <w:p w14:paraId="5DEEF70F" w14:textId="2D3AC0A7" w:rsidR="00A65A87" w:rsidRPr="00530053" w:rsidRDefault="00530053" w:rsidP="000C5D9A">
            <w:pPr>
              <w:rPr>
                <w:i/>
              </w:rPr>
            </w:pPr>
            <w:r w:rsidRPr="00530053">
              <w:rPr>
                <w:i/>
              </w:rPr>
              <w:t>dU6-</w:t>
            </w:r>
            <w:r w:rsidR="00A65A87" w:rsidRPr="00530053">
              <w:rPr>
                <w:i/>
              </w:rPr>
              <w:t>phm</w:t>
            </w:r>
            <w:r w:rsidR="00A65A87" w:rsidRPr="00530053">
              <w:rPr>
                <w:i/>
                <w:vertAlign w:val="superscript"/>
              </w:rPr>
              <w:t>gR2</w:t>
            </w:r>
          </w:p>
        </w:tc>
        <w:tc>
          <w:tcPr>
            <w:tcW w:w="1018" w:type="dxa"/>
          </w:tcPr>
          <w:p w14:paraId="3388E06D" w14:textId="77777777" w:rsidR="00A65A87" w:rsidRDefault="00A65A87" w:rsidP="000C5D9A">
            <w:r>
              <w:t>4 (CDS)</w:t>
            </w:r>
          </w:p>
        </w:tc>
        <w:tc>
          <w:tcPr>
            <w:tcW w:w="1276" w:type="dxa"/>
          </w:tcPr>
          <w:p w14:paraId="2516979B" w14:textId="77777777" w:rsidR="00A65A87" w:rsidRDefault="00A65A87" w:rsidP="000C5D9A">
            <w:r>
              <w:t>pCFD5</w:t>
            </w:r>
          </w:p>
        </w:tc>
        <w:tc>
          <w:tcPr>
            <w:tcW w:w="5670" w:type="dxa"/>
          </w:tcPr>
          <w:p w14:paraId="6EC2DF43" w14:textId="2A8CF85A" w:rsidR="00A65A87" w:rsidRDefault="00530053" w:rsidP="000C5D9A">
            <w:r>
              <w:t>u</w:t>
            </w:r>
            <w:r w:rsidR="00A65A87">
              <w:t xml:space="preserve">biquitous expression, for </w:t>
            </w:r>
            <w:bookmarkStart w:id="4" w:name="OLE_LINK170"/>
            <w:bookmarkStart w:id="5" w:name="OLE_LINK171"/>
            <w:proofErr w:type="spellStart"/>
            <w:r w:rsidR="00A65A87">
              <w:t>F</w:t>
            </w:r>
            <w:r>
              <w:t>okI</w:t>
            </w:r>
            <w:proofErr w:type="spellEnd"/>
            <w:r>
              <w:t>-based</w:t>
            </w:r>
            <w:r w:rsidR="00A65A87">
              <w:t xml:space="preserve"> approach</w:t>
            </w:r>
            <w:bookmarkEnd w:id="4"/>
            <w:bookmarkEnd w:id="5"/>
          </w:p>
        </w:tc>
      </w:tr>
      <w:tr w:rsidR="00A65A87" w14:paraId="05FEB0D3" w14:textId="77777777" w:rsidTr="00530053">
        <w:tc>
          <w:tcPr>
            <w:tcW w:w="1529" w:type="dxa"/>
          </w:tcPr>
          <w:p w14:paraId="107BAF0B" w14:textId="3C7CE5D1" w:rsidR="00A65A87" w:rsidRPr="00530053" w:rsidRDefault="00530053" w:rsidP="000C5D9A">
            <w:pPr>
              <w:rPr>
                <w:i/>
              </w:rPr>
            </w:pPr>
            <w:r w:rsidRPr="00530053">
              <w:rPr>
                <w:i/>
              </w:rPr>
              <w:t>phm-</w:t>
            </w:r>
            <w:r w:rsidR="00A65A87" w:rsidRPr="00530053">
              <w:rPr>
                <w:i/>
              </w:rPr>
              <w:t>TSS</w:t>
            </w:r>
            <w:r w:rsidR="00A65A87" w:rsidRPr="00530053">
              <w:rPr>
                <w:i/>
                <w:vertAlign w:val="superscript"/>
              </w:rPr>
              <w:t>-174</w:t>
            </w:r>
          </w:p>
        </w:tc>
        <w:tc>
          <w:tcPr>
            <w:tcW w:w="1018" w:type="dxa"/>
          </w:tcPr>
          <w:p w14:paraId="73F6EC18" w14:textId="77777777" w:rsidR="00A65A87" w:rsidRDefault="00A65A87" w:rsidP="000C5D9A">
            <w:r>
              <w:t>1 (TSS)</w:t>
            </w:r>
          </w:p>
        </w:tc>
        <w:tc>
          <w:tcPr>
            <w:tcW w:w="1276" w:type="dxa"/>
          </w:tcPr>
          <w:p w14:paraId="62CC5046" w14:textId="77777777" w:rsidR="00A65A87" w:rsidRDefault="00A65A87" w:rsidP="000C5D9A">
            <w:r>
              <w:t>pCFD5</w:t>
            </w:r>
          </w:p>
        </w:tc>
        <w:tc>
          <w:tcPr>
            <w:tcW w:w="5670" w:type="dxa"/>
          </w:tcPr>
          <w:p w14:paraId="53307B80" w14:textId="04BD6208" w:rsidR="00A65A87" w:rsidRDefault="00530053" w:rsidP="000C5D9A">
            <w:r>
              <w:t>u</w:t>
            </w:r>
            <w:r w:rsidR="00A65A87">
              <w:t>biquitous expression, target</w:t>
            </w:r>
            <w:r>
              <w:t>s</w:t>
            </w:r>
            <w:r w:rsidR="00A65A87">
              <w:t xml:space="preserve"> upstream </w:t>
            </w:r>
            <w:r>
              <w:t xml:space="preserve">of </w:t>
            </w:r>
            <w:r w:rsidR="00A65A87">
              <w:t>TSS</w:t>
            </w:r>
          </w:p>
        </w:tc>
      </w:tr>
      <w:tr w:rsidR="00A65A87" w14:paraId="1230D7B1" w14:textId="77777777" w:rsidTr="00530053">
        <w:tc>
          <w:tcPr>
            <w:tcW w:w="1529" w:type="dxa"/>
          </w:tcPr>
          <w:p w14:paraId="16D24188" w14:textId="18118D5C" w:rsidR="00A65A87" w:rsidRPr="00530053" w:rsidRDefault="00530053" w:rsidP="000C5D9A">
            <w:pPr>
              <w:rPr>
                <w:i/>
              </w:rPr>
            </w:pPr>
            <w:r w:rsidRPr="00530053">
              <w:rPr>
                <w:i/>
              </w:rPr>
              <w:t>phm-</w:t>
            </w:r>
            <w:r w:rsidR="00A65A87" w:rsidRPr="00530053">
              <w:rPr>
                <w:i/>
              </w:rPr>
              <w:t>TSS</w:t>
            </w:r>
            <w:r w:rsidR="00A65A87" w:rsidRPr="00530053">
              <w:rPr>
                <w:i/>
                <w:vertAlign w:val="superscript"/>
              </w:rPr>
              <w:t>-423</w:t>
            </w:r>
          </w:p>
        </w:tc>
        <w:tc>
          <w:tcPr>
            <w:tcW w:w="1018" w:type="dxa"/>
          </w:tcPr>
          <w:p w14:paraId="1B28BEB3" w14:textId="77777777" w:rsidR="00A65A87" w:rsidRDefault="00A65A87" w:rsidP="000C5D9A">
            <w:r>
              <w:t>1 (TSS)</w:t>
            </w:r>
          </w:p>
        </w:tc>
        <w:tc>
          <w:tcPr>
            <w:tcW w:w="1276" w:type="dxa"/>
          </w:tcPr>
          <w:p w14:paraId="052886AA" w14:textId="77777777" w:rsidR="00A65A87" w:rsidRDefault="00A65A87" w:rsidP="000C5D9A">
            <w:r>
              <w:t>pCFD5</w:t>
            </w:r>
          </w:p>
        </w:tc>
        <w:tc>
          <w:tcPr>
            <w:tcW w:w="5670" w:type="dxa"/>
          </w:tcPr>
          <w:p w14:paraId="7EC2CC9E" w14:textId="70667B22" w:rsidR="00A65A87" w:rsidRDefault="00530053" w:rsidP="000C5D9A">
            <w:r>
              <w:t>u</w:t>
            </w:r>
            <w:r w:rsidR="00A65A87">
              <w:t>biquitous expression, target</w:t>
            </w:r>
            <w:r>
              <w:t>s</w:t>
            </w:r>
            <w:r w:rsidR="00A65A87">
              <w:t xml:space="preserve"> upstream </w:t>
            </w:r>
            <w:r>
              <w:t xml:space="preserve">of </w:t>
            </w:r>
            <w:r w:rsidR="00A65A87">
              <w:t>TSS</w:t>
            </w:r>
          </w:p>
        </w:tc>
      </w:tr>
    </w:tbl>
    <w:p w14:paraId="76CF5260" w14:textId="77777777" w:rsidR="00A65A87" w:rsidRDefault="00A65A87">
      <w:pPr>
        <w:rPr>
          <w:lang w:val="en-US"/>
        </w:rPr>
      </w:pPr>
    </w:p>
    <w:p w14:paraId="62213E27" w14:textId="681FE54F" w:rsidR="00530053" w:rsidRPr="00530053" w:rsidRDefault="00530053">
      <w:pPr>
        <w:rPr>
          <w:lang w:val="en-US"/>
        </w:rPr>
      </w:pPr>
      <w:r>
        <w:rPr>
          <w:b/>
          <w:lang w:val="en-US"/>
        </w:rPr>
        <w:t xml:space="preserve">Table S1. </w:t>
      </w:r>
      <w:r>
        <w:rPr>
          <w:lang w:val="en-US"/>
        </w:rPr>
        <w:t>In</w:t>
      </w:r>
      <w:r w:rsidR="00FD2ACB">
        <w:rPr>
          <w:lang w:val="en-US"/>
        </w:rPr>
        <w:t xml:space="preserve"> the</w:t>
      </w:r>
      <w:r>
        <w:rPr>
          <w:lang w:val="en-US"/>
        </w:rPr>
        <w:t xml:space="preserve"> gRNA column, number</w:t>
      </w:r>
      <w:r w:rsidR="00FD2ACB">
        <w:rPr>
          <w:lang w:val="en-US"/>
        </w:rPr>
        <w:t>s</w:t>
      </w:r>
      <w:r>
        <w:rPr>
          <w:lang w:val="en-US"/>
        </w:rPr>
        <w:t xml:space="preserve"> </w:t>
      </w:r>
      <w:bookmarkStart w:id="6" w:name="_GoBack"/>
      <w:bookmarkEnd w:id="6"/>
      <w:r w:rsidR="00FD2ACB">
        <w:rPr>
          <w:lang w:val="en-US"/>
        </w:rPr>
        <w:t>represent</w:t>
      </w:r>
      <w:r w:rsidR="001772C8">
        <w:rPr>
          <w:lang w:val="en-US"/>
        </w:rPr>
        <w:t xml:space="preserve"> </w:t>
      </w:r>
      <w:r w:rsidR="00FD2ACB">
        <w:rPr>
          <w:lang w:val="en-US"/>
        </w:rPr>
        <w:t xml:space="preserve">the </w:t>
      </w:r>
      <w:r w:rsidR="001772C8">
        <w:rPr>
          <w:lang w:val="en-US"/>
        </w:rPr>
        <w:t xml:space="preserve">number of gRNAs used to direct Cas9, brackets indicate whether target region is upstream of </w:t>
      </w:r>
      <w:r w:rsidR="001772C8" w:rsidRPr="00530053">
        <w:rPr>
          <w:lang w:val="en-US"/>
        </w:rPr>
        <w:t xml:space="preserve">TSS </w:t>
      </w:r>
      <w:r w:rsidR="001772C8">
        <w:rPr>
          <w:lang w:val="en-US"/>
        </w:rPr>
        <w:t>(</w:t>
      </w:r>
      <w:r w:rsidR="001772C8" w:rsidRPr="00530053">
        <w:rPr>
          <w:lang w:val="en-US"/>
        </w:rPr>
        <w:t>= Transcription Start Site</w:t>
      </w:r>
      <w:r w:rsidR="001772C8">
        <w:rPr>
          <w:lang w:val="en-US"/>
        </w:rPr>
        <w:t>) or in the coding region (</w:t>
      </w:r>
      <w:r w:rsidR="001772C8" w:rsidRPr="00530053">
        <w:rPr>
          <w:lang w:val="en-US"/>
        </w:rPr>
        <w:t>CDS = Coding Sequence</w:t>
      </w:r>
      <w:r w:rsidR="001772C8">
        <w:rPr>
          <w:lang w:val="en-US"/>
        </w:rPr>
        <w:t>)</w:t>
      </w:r>
      <w:r w:rsidR="001772C8" w:rsidRPr="00530053">
        <w:rPr>
          <w:lang w:val="en-US"/>
        </w:rPr>
        <w:t>.</w:t>
      </w:r>
    </w:p>
    <w:sectPr w:rsidR="00530053" w:rsidRPr="00530053" w:rsidSect="008E13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E2"/>
    <w:rsid w:val="00005CE7"/>
    <w:rsid w:val="000D1FA0"/>
    <w:rsid w:val="001772C8"/>
    <w:rsid w:val="00280BA8"/>
    <w:rsid w:val="003C234F"/>
    <w:rsid w:val="003C325D"/>
    <w:rsid w:val="00501F92"/>
    <w:rsid w:val="00530053"/>
    <w:rsid w:val="008E13C1"/>
    <w:rsid w:val="00A65A87"/>
    <w:rsid w:val="00C750B0"/>
    <w:rsid w:val="00DB4DE2"/>
    <w:rsid w:val="00DC2741"/>
    <w:rsid w:val="00EF0889"/>
    <w:rsid w:val="00FD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0CBC6"/>
  <w15:chartTrackingRefBased/>
  <w15:docId w15:val="{5C98E1DF-FBE6-984D-ACE5-74BECA29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2018-08-31T17:48:00Z</dcterms:created>
  <dcterms:modified xsi:type="dcterms:W3CDTF">2018-08-31T17:48:00Z</dcterms:modified>
</cp:coreProperties>
</file>