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79" w:rsidRPr="00181679" w:rsidRDefault="00181679" w:rsidP="00181679">
      <w:pPr>
        <w:rPr>
          <w:rFonts w:ascii="Calibri" w:eastAsia="Times New Roman" w:hAnsi="Calibri" w:cs="Calibri"/>
          <w:color w:val="000000"/>
        </w:rPr>
      </w:pPr>
      <w:r w:rsidRPr="00181679">
        <w:rPr>
          <w:rFonts w:ascii="Calibri" w:eastAsia="Times New Roman" w:hAnsi="Calibri" w:cs="Calibri"/>
          <w:color w:val="000000"/>
        </w:rPr>
        <w:t xml:space="preserve">Supplementary Figure 1. The most significant motifs of </w:t>
      </w:r>
      <w:proofErr w:type="spellStart"/>
      <w:r w:rsidRPr="00181679">
        <w:rPr>
          <w:rFonts w:ascii="Calibri" w:eastAsia="Times New Roman" w:hAnsi="Calibri" w:cs="Calibri"/>
          <w:color w:val="000000"/>
        </w:rPr>
        <w:t>phosphosites</w:t>
      </w:r>
      <w:proofErr w:type="spellEnd"/>
      <w:r w:rsidRPr="00181679">
        <w:rPr>
          <w:rFonts w:ascii="Calibri" w:eastAsia="Times New Roman" w:hAnsi="Calibri" w:cs="Calibri"/>
          <w:color w:val="000000"/>
        </w:rPr>
        <w:t xml:space="preserve"> in 6 Drosophila species are similar.</w:t>
      </w:r>
    </w:p>
    <w:p w:rsidR="00181679" w:rsidRPr="00181679" w:rsidRDefault="00181679" w:rsidP="00181679">
      <w:pPr>
        <w:rPr>
          <w:rFonts w:ascii="Calibri" w:eastAsia="Times New Roman" w:hAnsi="Calibri" w:cs="Calibri"/>
          <w:color w:val="000000"/>
        </w:rPr>
      </w:pPr>
      <w:bookmarkStart w:id="0" w:name="_GoBack"/>
    </w:p>
    <w:bookmarkEnd w:id="0"/>
    <w:p w:rsidR="00181679" w:rsidRPr="00181679" w:rsidRDefault="00181679" w:rsidP="00181679">
      <w:pPr>
        <w:rPr>
          <w:rFonts w:ascii="Calibri" w:eastAsia="Times New Roman" w:hAnsi="Calibri" w:cs="Calibri"/>
          <w:color w:val="000000"/>
        </w:rPr>
      </w:pPr>
      <w:r w:rsidRPr="00181679">
        <w:rPr>
          <w:rFonts w:ascii="Calibri" w:eastAsia="Times New Roman" w:hAnsi="Calibri" w:cs="Calibri"/>
          <w:color w:val="000000"/>
        </w:rPr>
        <w:t xml:space="preserve">Supplementary Figure 2. </w:t>
      </w:r>
      <w:proofErr w:type="spellStart"/>
      <w:r w:rsidRPr="00181679">
        <w:rPr>
          <w:rFonts w:ascii="Calibri" w:eastAsia="Times New Roman" w:hAnsi="Calibri" w:cs="Calibri"/>
          <w:color w:val="000000"/>
        </w:rPr>
        <w:t>Phosphosites</w:t>
      </w:r>
      <w:proofErr w:type="spellEnd"/>
      <w:r w:rsidRPr="00181679">
        <w:rPr>
          <w:rFonts w:ascii="Calibri" w:eastAsia="Times New Roman" w:hAnsi="Calibri" w:cs="Calibri"/>
          <w:color w:val="000000"/>
        </w:rPr>
        <w:t xml:space="preserve"> were aligned across the Drosophila and mosquito species.  27,358 aligned sites that are covered by our mass-spec data of the 6 Drosophila species (bolded) were selected and a propensity score combining experimentally determined sites from other species with the sequence-based </w:t>
      </w:r>
      <w:proofErr w:type="spellStart"/>
      <w:r w:rsidRPr="00181679">
        <w:rPr>
          <w:rFonts w:ascii="Calibri" w:eastAsia="Times New Roman" w:hAnsi="Calibri" w:cs="Calibri"/>
          <w:color w:val="000000"/>
        </w:rPr>
        <w:t>phosphosite</w:t>
      </w:r>
      <w:proofErr w:type="spellEnd"/>
      <w:r w:rsidRPr="00181679">
        <w:rPr>
          <w:rFonts w:ascii="Calibri" w:eastAsia="Times New Roman" w:hAnsi="Calibri" w:cs="Calibri"/>
          <w:color w:val="000000"/>
        </w:rPr>
        <w:t xml:space="preserve"> predictions was assigned to each phospho-acceptor site that is not covered by the data but is likely missed due to the incomplete coverage of the data (Studer et al., 2016).   </w:t>
      </w:r>
    </w:p>
    <w:p w:rsidR="00181679" w:rsidRPr="00181679" w:rsidRDefault="00181679" w:rsidP="00181679">
      <w:pPr>
        <w:rPr>
          <w:rFonts w:ascii="Calibri" w:eastAsia="Times New Roman" w:hAnsi="Calibri" w:cs="Calibri"/>
          <w:color w:val="000000"/>
        </w:rPr>
      </w:pPr>
    </w:p>
    <w:p w:rsidR="00181679" w:rsidRPr="00181679" w:rsidRDefault="00181679" w:rsidP="00181679">
      <w:pPr>
        <w:rPr>
          <w:rFonts w:ascii="Calibri" w:eastAsia="Times New Roman" w:hAnsi="Calibri" w:cs="Calibri"/>
          <w:color w:val="000000"/>
        </w:rPr>
      </w:pPr>
      <w:r w:rsidRPr="00181679">
        <w:rPr>
          <w:rFonts w:ascii="Calibri" w:eastAsia="Times New Roman" w:hAnsi="Calibri" w:cs="Calibri"/>
          <w:color w:val="000000"/>
        </w:rPr>
        <w:t>Supplementary Figure 3a. Correlation of propensity score and observed phosphorylation in Drosophila melanogaster proteomics data</w:t>
      </w:r>
      <w:r w:rsidRPr="00181679">
        <w:rPr>
          <w:rFonts w:ascii="Calibri" w:eastAsia="Times New Roman" w:hAnsi="Calibri" w:cs="Calibri"/>
          <w:color w:val="000000"/>
        </w:rPr>
        <w:br/>
        <w:t xml:space="preserve">11,691 </w:t>
      </w:r>
      <w:proofErr w:type="spellStart"/>
      <w:r w:rsidRPr="00181679">
        <w:rPr>
          <w:rFonts w:ascii="Calibri" w:eastAsia="Times New Roman" w:hAnsi="Calibri" w:cs="Calibri"/>
          <w:color w:val="000000"/>
        </w:rPr>
        <w:t>phosphosites</w:t>
      </w:r>
      <w:proofErr w:type="spellEnd"/>
      <w:r w:rsidRPr="00181679">
        <w:rPr>
          <w:rFonts w:ascii="Calibri" w:eastAsia="Times New Roman" w:hAnsi="Calibri" w:cs="Calibri"/>
          <w:color w:val="000000"/>
        </w:rPr>
        <w:t xml:space="preserve"> in Drosophila melanogaster were assigned a propensity score, based on their likelihood of phosphorylation in other Drosophila species. The propensity score correlates with observation of phosphorylation for individual sites in three independent Drosophila melanogaster proteomic datasets. </w:t>
      </w:r>
    </w:p>
    <w:p w:rsidR="00181679" w:rsidRPr="00181679" w:rsidRDefault="00181679" w:rsidP="00181679">
      <w:pPr>
        <w:rPr>
          <w:rFonts w:ascii="Calibri" w:eastAsia="Times New Roman" w:hAnsi="Calibri" w:cs="Calibri"/>
          <w:color w:val="000000"/>
        </w:rPr>
      </w:pPr>
      <w:r w:rsidRPr="00181679">
        <w:rPr>
          <w:rFonts w:ascii="Calibri" w:eastAsia="Times New Roman" w:hAnsi="Calibri" w:cs="Calibri"/>
          <w:color w:val="000000"/>
        </w:rPr>
        <w:br/>
        <w:t>Supplementary Figure 3b. The frequency of phosphorylation among six Drosophila species with reported data for orthologous human proteins</w:t>
      </w:r>
      <w:r w:rsidRPr="00181679">
        <w:rPr>
          <w:rFonts w:ascii="Calibri" w:eastAsia="Times New Roman" w:hAnsi="Calibri" w:cs="Calibri"/>
          <w:color w:val="000000"/>
        </w:rPr>
        <w:br/>
      </w:r>
      <w:proofErr w:type="spellStart"/>
      <w:r w:rsidRPr="00181679">
        <w:rPr>
          <w:rFonts w:ascii="Calibri" w:eastAsia="Times New Roman" w:hAnsi="Calibri" w:cs="Calibri"/>
          <w:color w:val="000000"/>
        </w:rPr>
        <w:t>Phosphosites</w:t>
      </w:r>
      <w:proofErr w:type="spellEnd"/>
      <w:r w:rsidRPr="00181679">
        <w:rPr>
          <w:rFonts w:ascii="Calibri" w:eastAsia="Times New Roman" w:hAnsi="Calibri" w:cs="Calibri"/>
          <w:color w:val="000000"/>
        </w:rPr>
        <w:t xml:space="preserve"> identified in Drosophila were aligned to the corresponding amino acid of the human ortholog, considering a sliding window of five amino acids surrounding the identified </w:t>
      </w:r>
      <w:proofErr w:type="spellStart"/>
      <w:r w:rsidRPr="00181679">
        <w:rPr>
          <w:rFonts w:ascii="Calibri" w:eastAsia="Times New Roman" w:hAnsi="Calibri" w:cs="Calibri"/>
          <w:color w:val="000000"/>
        </w:rPr>
        <w:t>phosphosite</w:t>
      </w:r>
      <w:proofErr w:type="spellEnd"/>
      <w:r w:rsidRPr="00181679">
        <w:rPr>
          <w:rFonts w:ascii="Calibri" w:eastAsia="Times New Roman" w:hAnsi="Calibri" w:cs="Calibri"/>
          <w:color w:val="000000"/>
        </w:rPr>
        <w:t>. The probability of the corresponding phospho-acceptor site having been observed as phosphorylated in human data correlates with the degree of sequence similarity.</w:t>
      </w:r>
    </w:p>
    <w:p w:rsidR="00181679" w:rsidRPr="00181679" w:rsidRDefault="00181679" w:rsidP="00181679">
      <w:pPr>
        <w:rPr>
          <w:rFonts w:ascii="Calibri" w:eastAsia="Times New Roman" w:hAnsi="Calibri" w:cs="Calibri"/>
          <w:color w:val="000000"/>
        </w:rPr>
      </w:pPr>
      <w:r w:rsidRPr="00181679">
        <w:rPr>
          <w:rFonts w:ascii="Calibri" w:eastAsia="Times New Roman" w:hAnsi="Calibri" w:cs="Calibri"/>
          <w:color w:val="000000"/>
        </w:rPr>
        <w:br/>
        <w:t xml:space="preserve">Supplementary Figure 3c. False negative rate estimation for coverage of the six Drosophila </w:t>
      </w:r>
      <w:proofErr w:type="spellStart"/>
      <w:r w:rsidRPr="00181679">
        <w:rPr>
          <w:rFonts w:ascii="Calibri" w:eastAsia="Times New Roman" w:hAnsi="Calibri" w:cs="Calibri"/>
          <w:color w:val="000000"/>
        </w:rPr>
        <w:t>phosphoproteomes</w:t>
      </w:r>
      <w:proofErr w:type="spellEnd"/>
      <w:r w:rsidRPr="00181679">
        <w:rPr>
          <w:rFonts w:ascii="Calibri" w:eastAsia="Times New Roman" w:hAnsi="Calibri" w:cs="Calibri"/>
          <w:color w:val="000000"/>
        </w:rPr>
        <w:br/>
        <w:t xml:space="preserve">An estimation of missed </w:t>
      </w:r>
      <w:proofErr w:type="spellStart"/>
      <w:r w:rsidRPr="00181679">
        <w:rPr>
          <w:rFonts w:ascii="Calibri" w:eastAsia="Times New Roman" w:hAnsi="Calibri" w:cs="Calibri"/>
          <w:color w:val="000000"/>
        </w:rPr>
        <w:t>phosphorylations</w:t>
      </w:r>
      <w:proofErr w:type="spellEnd"/>
      <w:r w:rsidRPr="00181679">
        <w:rPr>
          <w:rFonts w:ascii="Calibri" w:eastAsia="Times New Roman" w:hAnsi="Calibri" w:cs="Calibri"/>
          <w:color w:val="000000"/>
        </w:rPr>
        <w:t xml:space="preserve"> (false negative rate) was determined for each of the Drosophila species by considering those </w:t>
      </w:r>
      <w:proofErr w:type="spellStart"/>
      <w:r w:rsidRPr="00181679">
        <w:rPr>
          <w:rFonts w:ascii="Calibri" w:eastAsia="Times New Roman" w:hAnsi="Calibri" w:cs="Calibri"/>
          <w:color w:val="000000"/>
        </w:rPr>
        <w:t>phosphosites</w:t>
      </w:r>
      <w:proofErr w:type="spellEnd"/>
      <w:r w:rsidRPr="00181679">
        <w:rPr>
          <w:rFonts w:ascii="Calibri" w:eastAsia="Times New Roman" w:hAnsi="Calibri" w:cs="Calibri"/>
          <w:color w:val="000000"/>
        </w:rPr>
        <w:t xml:space="preserve"> identical among all the six species (considering eleven amino acid peptides comprising the </w:t>
      </w:r>
      <w:proofErr w:type="spellStart"/>
      <w:r w:rsidRPr="00181679">
        <w:rPr>
          <w:rFonts w:ascii="Calibri" w:eastAsia="Times New Roman" w:hAnsi="Calibri" w:cs="Calibri"/>
          <w:color w:val="000000"/>
        </w:rPr>
        <w:t>phosphosite</w:t>
      </w:r>
      <w:proofErr w:type="spellEnd"/>
      <w:r w:rsidRPr="00181679">
        <w:rPr>
          <w:rFonts w:ascii="Calibri" w:eastAsia="Times New Roman" w:hAnsi="Calibri" w:cs="Calibri"/>
          <w:color w:val="000000"/>
        </w:rPr>
        <w:t xml:space="preserve"> plus five amino acids upstream and downstream) and for which phosphorylation was observed in at least two species. The false negative rate is the reciprocal of the number of observed </w:t>
      </w:r>
      <w:proofErr w:type="spellStart"/>
      <w:r w:rsidRPr="00181679">
        <w:rPr>
          <w:rFonts w:ascii="Calibri" w:eastAsia="Times New Roman" w:hAnsi="Calibri" w:cs="Calibri"/>
          <w:color w:val="000000"/>
        </w:rPr>
        <w:t>phosphorylations</w:t>
      </w:r>
      <w:proofErr w:type="spellEnd"/>
      <w:r w:rsidRPr="00181679">
        <w:rPr>
          <w:rFonts w:ascii="Calibri" w:eastAsia="Times New Roman" w:hAnsi="Calibri" w:cs="Calibri"/>
          <w:color w:val="000000"/>
        </w:rPr>
        <w:t xml:space="preserve"> in an individual species divided by the number derived above.</w:t>
      </w:r>
    </w:p>
    <w:p w:rsidR="00181679" w:rsidRPr="00181679" w:rsidRDefault="00181679" w:rsidP="00181679">
      <w:pPr>
        <w:rPr>
          <w:rFonts w:ascii="Calibri" w:eastAsia="Times New Roman" w:hAnsi="Calibri" w:cs="Calibri"/>
          <w:color w:val="000000"/>
        </w:rPr>
      </w:pPr>
      <w:r w:rsidRPr="00181679">
        <w:rPr>
          <w:rFonts w:ascii="Calibri" w:eastAsia="Times New Roman" w:hAnsi="Calibri" w:cs="Calibri"/>
          <w:color w:val="000000"/>
        </w:rPr>
        <w:br/>
        <w:t>Supplementary Figure 4.  Evolutionary relationships among Drosophila melanogaster kinases</w:t>
      </w:r>
      <w:r w:rsidRPr="00181679">
        <w:rPr>
          <w:rFonts w:ascii="Calibri" w:eastAsia="Times New Roman" w:hAnsi="Calibri" w:cs="Calibri"/>
          <w:color w:val="000000"/>
        </w:rPr>
        <w:br/>
        <w:t>The core of the plot illustrates the phylogenetic relationships between Drosophila melanogaster kinases estimated by total sequence similarity. The outer circle reflects the presence of orthologs in other species.</w:t>
      </w:r>
      <w:r w:rsidRPr="00181679">
        <w:rPr>
          <w:rFonts w:ascii="Calibri" w:eastAsia="Times New Roman" w:hAnsi="Calibri" w:cs="Calibri"/>
          <w:color w:val="000000"/>
        </w:rPr>
        <w:br/>
        <w:t>a. CMGC - CDK, MAPK, GSK3 and CLK family</w:t>
      </w:r>
      <w:r w:rsidRPr="00181679">
        <w:rPr>
          <w:rFonts w:ascii="Calibri" w:eastAsia="Times New Roman" w:hAnsi="Calibri" w:cs="Calibri"/>
          <w:color w:val="000000"/>
        </w:rPr>
        <w:br/>
        <w:t>b. CAMK - Calmodulin/Calcium regulated kinases family</w:t>
      </w:r>
      <w:r w:rsidRPr="00181679">
        <w:rPr>
          <w:rFonts w:ascii="Calibri" w:eastAsia="Times New Roman" w:hAnsi="Calibri" w:cs="Calibri"/>
          <w:color w:val="000000"/>
        </w:rPr>
        <w:br/>
        <w:t>c. AGC - Protein Kinase A, G, and C family (PKA, PKC, PKG)</w:t>
      </w:r>
      <w:r w:rsidRPr="00181679">
        <w:rPr>
          <w:rFonts w:ascii="Calibri" w:eastAsia="Times New Roman" w:hAnsi="Calibri" w:cs="Calibri"/>
          <w:color w:val="000000"/>
        </w:rPr>
        <w:br/>
        <w:t>d. STE - Homologs of the yeast STE7, STE11 and STE20 genes family</w:t>
      </w:r>
      <w:r w:rsidRPr="00181679">
        <w:rPr>
          <w:rFonts w:ascii="Calibri" w:eastAsia="Times New Roman" w:hAnsi="Calibri" w:cs="Calibri"/>
          <w:color w:val="000000"/>
        </w:rPr>
        <w:br/>
        <w:t>e. Atypical kinase family</w:t>
      </w:r>
      <w:r w:rsidRPr="00181679">
        <w:rPr>
          <w:rFonts w:ascii="Calibri" w:eastAsia="Times New Roman" w:hAnsi="Calibri" w:cs="Calibri"/>
          <w:color w:val="000000"/>
        </w:rPr>
        <w:br/>
        <w:t>f. CK1 - Casein Kinase 1 family</w:t>
      </w:r>
      <w:r w:rsidRPr="00181679">
        <w:rPr>
          <w:rFonts w:ascii="Calibri" w:eastAsia="Times New Roman" w:hAnsi="Calibri" w:cs="Calibri"/>
          <w:color w:val="000000"/>
        </w:rPr>
        <w:br/>
        <w:t xml:space="preserve">g. RGC - Receptor Guanylate </w:t>
      </w:r>
      <w:proofErr w:type="spellStart"/>
      <w:r w:rsidRPr="00181679">
        <w:rPr>
          <w:rFonts w:ascii="Calibri" w:eastAsia="Times New Roman" w:hAnsi="Calibri" w:cs="Calibri"/>
          <w:color w:val="000000"/>
        </w:rPr>
        <w:t>Cyclases</w:t>
      </w:r>
      <w:proofErr w:type="spellEnd"/>
      <w:r w:rsidRPr="00181679">
        <w:rPr>
          <w:rFonts w:ascii="Calibri" w:eastAsia="Times New Roman" w:hAnsi="Calibri" w:cs="Calibri"/>
          <w:color w:val="000000"/>
        </w:rPr>
        <w:t xml:space="preserve"> family</w:t>
      </w:r>
      <w:r w:rsidRPr="00181679">
        <w:rPr>
          <w:rFonts w:ascii="Calibri" w:eastAsia="Times New Roman" w:hAnsi="Calibri" w:cs="Calibri"/>
          <w:color w:val="000000"/>
        </w:rPr>
        <w:br/>
      </w:r>
      <w:r w:rsidRPr="00181679">
        <w:rPr>
          <w:rFonts w:ascii="Calibri" w:eastAsia="Times New Roman" w:hAnsi="Calibri" w:cs="Calibri"/>
          <w:color w:val="000000"/>
        </w:rPr>
        <w:lastRenderedPageBreak/>
        <w:t xml:space="preserve">Supplementary Figure 5. Statistics of </w:t>
      </w:r>
      <w:proofErr w:type="spellStart"/>
      <w:r w:rsidRPr="00181679">
        <w:rPr>
          <w:rFonts w:ascii="Calibri" w:eastAsia="Times New Roman" w:hAnsi="Calibri" w:cs="Calibri"/>
          <w:color w:val="000000"/>
        </w:rPr>
        <w:t>phosphosites</w:t>
      </w:r>
      <w:proofErr w:type="spellEnd"/>
      <w:r w:rsidRPr="00181679"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 w:rsidRPr="00181679">
        <w:rPr>
          <w:rFonts w:ascii="Calibri" w:eastAsia="Times New Roman" w:hAnsi="Calibri" w:cs="Calibri"/>
          <w:color w:val="000000"/>
        </w:rPr>
        <w:t>iProteinDB</w:t>
      </w:r>
      <w:proofErr w:type="spellEnd"/>
      <w:r w:rsidRPr="00181679">
        <w:rPr>
          <w:rFonts w:ascii="Calibri" w:eastAsia="Times New Roman" w:hAnsi="Calibri" w:cs="Calibri"/>
          <w:color w:val="000000"/>
        </w:rPr>
        <w:t>: percentage of phosphorylated serine, threonine and tyrosine residues for human, mouse, rat and Drosophila melanogaster </w:t>
      </w:r>
    </w:p>
    <w:p w:rsidR="00181679" w:rsidRPr="00181679" w:rsidRDefault="00181679" w:rsidP="00181679">
      <w:pPr>
        <w:rPr>
          <w:rFonts w:ascii="Calibri" w:eastAsia="Times New Roman" w:hAnsi="Calibri" w:cs="Calibri"/>
          <w:color w:val="000000"/>
        </w:rPr>
      </w:pPr>
      <w:r w:rsidRPr="00181679">
        <w:rPr>
          <w:rFonts w:ascii="Calibri" w:eastAsia="Times New Roman" w:hAnsi="Calibri" w:cs="Calibri"/>
          <w:color w:val="000000"/>
        </w:rPr>
        <w:br/>
        <w:t xml:space="preserve">Supplementary Table 1: Summary of our </w:t>
      </w:r>
      <w:proofErr w:type="spellStart"/>
      <w:r w:rsidRPr="00181679">
        <w:rPr>
          <w:rFonts w:ascii="Calibri" w:eastAsia="Times New Roman" w:hAnsi="Calibri" w:cs="Calibri"/>
          <w:color w:val="000000"/>
        </w:rPr>
        <w:t>phosphoproteomics</w:t>
      </w:r>
      <w:proofErr w:type="spellEnd"/>
      <w:r w:rsidRPr="00181679">
        <w:rPr>
          <w:rFonts w:ascii="Calibri" w:eastAsia="Times New Roman" w:hAnsi="Calibri" w:cs="Calibri"/>
          <w:color w:val="000000"/>
        </w:rPr>
        <w:t xml:space="preserve"> datasets of 6 Drosophila Species  </w:t>
      </w:r>
    </w:p>
    <w:p w:rsidR="00181679" w:rsidRPr="00181679" w:rsidRDefault="00181679" w:rsidP="00181679">
      <w:pPr>
        <w:rPr>
          <w:rFonts w:ascii="Calibri" w:eastAsia="Times New Roman" w:hAnsi="Calibri" w:cs="Calibri"/>
          <w:color w:val="000000"/>
        </w:rPr>
      </w:pPr>
      <w:r w:rsidRPr="00181679">
        <w:rPr>
          <w:rFonts w:ascii="Calibri" w:eastAsia="Times New Roman" w:hAnsi="Calibri" w:cs="Calibri"/>
          <w:color w:val="000000"/>
        </w:rPr>
        <w:br/>
        <w:t xml:space="preserve">Supplementary Table 2: </w:t>
      </w:r>
      <w:proofErr w:type="spellStart"/>
      <w:r w:rsidRPr="00181679">
        <w:rPr>
          <w:rFonts w:ascii="Calibri" w:eastAsia="Times New Roman" w:hAnsi="Calibri" w:cs="Calibri"/>
          <w:color w:val="000000"/>
        </w:rPr>
        <w:t>Phosphosites</w:t>
      </w:r>
      <w:proofErr w:type="spellEnd"/>
      <w:r w:rsidRPr="00181679">
        <w:rPr>
          <w:rFonts w:ascii="Calibri" w:eastAsia="Times New Roman" w:hAnsi="Calibri" w:cs="Calibri"/>
          <w:color w:val="000000"/>
        </w:rPr>
        <w:t xml:space="preserve"> that are 100% identical between human and Drosophila melanogaster</w:t>
      </w:r>
    </w:p>
    <w:p w:rsidR="003F0CD2" w:rsidRPr="00181679" w:rsidRDefault="00181679">
      <w:pPr>
        <w:rPr>
          <w:rFonts w:ascii="Calibri" w:eastAsia="Times New Roman" w:hAnsi="Calibri" w:cs="Calibri"/>
          <w:color w:val="000000"/>
        </w:rPr>
      </w:pPr>
      <w:r w:rsidRPr="00181679">
        <w:rPr>
          <w:rFonts w:ascii="Calibri" w:eastAsia="Times New Roman" w:hAnsi="Calibri" w:cs="Calibri"/>
          <w:color w:val="000000"/>
        </w:rPr>
        <w:br/>
        <w:t>Supplementary Table 3: Phospho-acceptor residue that are conserved among Drosophila but changed or absent in human despite the surrounding sequences being 100% identical</w:t>
      </w:r>
    </w:p>
    <w:sectPr w:rsidR="003F0CD2" w:rsidRPr="00181679" w:rsidSect="00C6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1D1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1AF24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79"/>
    <w:rsid w:val="0001162B"/>
    <w:rsid w:val="0002478E"/>
    <w:rsid w:val="00026E07"/>
    <w:rsid w:val="00041FD9"/>
    <w:rsid w:val="00045B83"/>
    <w:rsid w:val="00054C74"/>
    <w:rsid w:val="00071FFD"/>
    <w:rsid w:val="000762B0"/>
    <w:rsid w:val="000A1B51"/>
    <w:rsid w:val="000D3801"/>
    <w:rsid w:val="000E66F0"/>
    <w:rsid w:val="000F1E81"/>
    <w:rsid w:val="00103BF9"/>
    <w:rsid w:val="00105952"/>
    <w:rsid w:val="00112F1C"/>
    <w:rsid w:val="001232D0"/>
    <w:rsid w:val="001316E9"/>
    <w:rsid w:val="00140F5A"/>
    <w:rsid w:val="0014608E"/>
    <w:rsid w:val="00153329"/>
    <w:rsid w:val="0016712C"/>
    <w:rsid w:val="0017299F"/>
    <w:rsid w:val="00175C3A"/>
    <w:rsid w:val="00181679"/>
    <w:rsid w:val="00181F0E"/>
    <w:rsid w:val="0018695F"/>
    <w:rsid w:val="00190950"/>
    <w:rsid w:val="00192A0D"/>
    <w:rsid w:val="001B1864"/>
    <w:rsid w:val="001C3BDC"/>
    <w:rsid w:val="001C73C6"/>
    <w:rsid w:val="001D745E"/>
    <w:rsid w:val="001E26DD"/>
    <w:rsid w:val="00207EE6"/>
    <w:rsid w:val="00212416"/>
    <w:rsid w:val="002168F0"/>
    <w:rsid w:val="00220ACB"/>
    <w:rsid w:val="002400BF"/>
    <w:rsid w:val="0027270E"/>
    <w:rsid w:val="002802EA"/>
    <w:rsid w:val="00285479"/>
    <w:rsid w:val="00287641"/>
    <w:rsid w:val="002A0BFF"/>
    <w:rsid w:val="002B5BBB"/>
    <w:rsid w:val="002C4700"/>
    <w:rsid w:val="002D204B"/>
    <w:rsid w:val="002D25C0"/>
    <w:rsid w:val="002D3378"/>
    <w:rsid w:val="002D373D"/>
    <w:rsid w:val="002D681B"/>
    <w:rsid w:val="002F23AA"/>
    <w:rsid w:val="002F438F"/>
    <w:rsid w:val="002F43DB"/>
    <w:rsid w:val="00311692"/>
    <w:rsid w:val="00320E49"/>
    <w:rsid w:val="00320EE0"/>
    <w:rsid w:val="003341DF"/>
    <w:rsid w:val="00346D32"/>
    <w:rsid w:val="00356C3E"/>
    <w:rsid w:val="00367504"/>
    <w:rsid w:val="00382123"/>
    <w:rsid w:val="003830BC"/>
    <w:rsid w:val="00384F7D"/>
    <w:rsid w:val="003865D9"/>
    <w:rsid w:val="003868C3"/>
    <w:rsid w:val="00391DA6"/>
    <w:rsid w:val="003930D5"/>
    <w:rsid w:val="00394288"/>
    <w:rsid w:val="003A4A08"/>
    <w:rsid w:val="003B7235"/>
    <w:rsid w:val="003B768F"/>
    <w:rsid w:val="003C3026"/>
    <w:rsid w:val="003C6C62"/>
    <w:rsid w:val="003C7F0B"/>
    <w:rsid w:val="003F0CD2"/>
    <w:rsid w:val="004067CA"/>
    <w:rsid w:val="004331DD"/>
    <w:rsid w:val="00435DA8"/>
    <w:rsid w:val="00482636"/>
    <w:rsid w:val="00486087"/>
    <w:rsid w:val="004877EA"/>
    <w:rsid w:val="0049190E"/>
    <w:rsid w:val="00491DB3"/>
    <w:rsid w:val="0049527C"/>
    <w:rsid w:val="004B5D89"/>
    <w:rsid w:val="004B79C5"/>
    <w:rsid w:val="004E339A"/>
    <w:rsid w:val="004E4469"/>
    <w:rsid w:val="004F5506"/>
    <w:rsid w:val="0052612B"/>
    <w:rsid w:val="0053430B"/>
    <w:rsid w:val="00545341"/>
    <w:rsid w:val="00574C43"/>
    <w:rsid w:val="00581365"/>
    <w:rsid w:val="00586333"/>
    <w:rsid w:val="0058732E"/>
    <w:rsid w:val="005B4BD1"/>
    <w:rsid w:val="005D2F59"/>
    <w:rsid w:val="005D5120"/>
    <w:rsid w:val="005E5E66"/>
    <w:rsid w:val="005F6344"/>
    <w:rsid w:val="00615F9C"/>
    <w:rsid w:val="006507DC"/>
    <w:rsid w:val="00664A30"/>
    <w:rsid w:val="0067357B"/>
    <w:rsid w:val="00675F9D"/>
    <w:rsid w:val="006827A9"/>
    <w:rsid w:val="006958D5"/>
    <w:rsid w:val="006A64CA"/>
    <w:rsid w:val="006A6B9F"/>
    <w:rsid w:val="006B4BEF"/>
    <w:rsid w:val="006D6E6D"/>
    <w:rsid w:val="006E2FA4"/>
    <w:rsid w:val="006E3346"/>
    <w:rsid w:val="006E7018"/>
    <w:rsid w:val="007073A1"/>
    <w:rsid w:val="007175F3"/>
    <w:rsid w:val="00731A11"/>
    <w:rsid w:val="00777F7C"/>
    <w:rsid w:val="00785419"/>
    <w:rsid w:val="00786B6D"/>
    <w:rsid w:val="00796EC8"/>
    <w:rsid w:val="007A5D1E"/>
    <w:rsid w:val="007A7BDF"/>
    <w:rsid w:val="007C4C1C"/>
    <w:rsid w:val="007D0A39"/>
    <w:rsid w:val="007E13A1"/>
    <w:rsid w:val="007F0E5C"/>
    <w:rsid w:val="007F4E4F"/>
    <w:rsid w:val="00803209"/>
    <w:rsid w:val="00820AC4"/>
    <w:rsid w:val="00824F8D"/>
    <w:rsid w:val="00836B36"/>
    <w:rsid w:val="008406CA"/>
    <w:rsid w:val="008623CF"/>
    <w:rsid w:val="00881CCA"/>
    <w:rsid w:val="0089250B"/>
    <w:rsid w:val="00892956"/>
    <w:rsid w:val="008E1CAF"/>
    <w:rsid w:val="008E3DBB"/>
    <w:rsid w:val="008F3ADD"/>
    <w:rsid w:val="008F55AD"/>
    <w:rsid w:val="00900EA5"/>
    <w:rsid w:val="00905F66"/>
    <w:rsid w:val="00913662"/>
    <w:rsid w:val="009307A0"/>
    <w:rsid w:val="00951168"/>
    <w:rsid w:val="0095331A"/>
    <w:rsid w:val="00954285"/>
    <w:rsid w:val="00973E93"/>
    <w:rsid w:val="009E2A07"/>
    <w:rsid w:val="009E2C81"/>
    <w:rsid w:val="009F1814"/>
    <w:rsid w:val="00A01E83"/>
    <w:rsid w:val="00A03744"/>
    <w:rsid w:val="00A27D3A"/>
    <w:rsid w:val="00A35DE7"/>
    <w:rsid w:val="00A36233"/>
    <w:rsid w:val="00A457D6"/>
    <w:rsid w:val="00A5426B"/>
    <w:rsid w:val="00A6124D"/>
    <w:rsid w:val="00A66271"/>
    <w:rsid w:val="00AA04D2"/>
    <w:rsid w:val="00AA741E"/>
    <w:rsid w:val="00AB39A0"/>
    <w:rsid w:val="00AC7412"/>
    <w:rsid w:val="00AC7A80"/>
    <w:rsid w:val="00AE283F"/>
    <w:rsid w:val="00B01721"/>
    <w:rsid w:val="00B123F3"/>
    <w:rsid w:val="00B15D09"/>
    <w:rsid w:val="00B1746D"/>
    <w:rsid w:val="00B3071B"/>
    <w:rsid w:val="00B456AF"/>
    <w:rsid w:val="00B700F4"/>
    <w:rsid w:val="00B8241B"/>
    <w:rsid w:val="00B85269"/>
    <w:rsid w:val="00BB4952"/>
    <w:rsid w:val="00BB599B"/>
    <w:rsid w:val="00BC1593"/>
    <w:rsid w:val="00BF1679"/>
    <w:rsid w:val="00BF472A"/>
    <w:rsid w:val="00BF7A09"/>
    <w:rsid w:val="00C01991"/>
    <w:rsid w:val="00C0672A"/>
    <w:rsid w:val="00C12E08"/>
    <w:rsid w:val="00C228AC"/>
    <w:rsid w:val="00C25689"/>
    <w:rsid w:val="00C62755"/>
    <w:rsid w:val="00C72A35"/>
    <w:rsid w:val="00C96732"/>
    <w:rsid w:val="00CA0D6F"/>
    <w:rsid w:val="00CA269E"/>
    <w:rsid w:val="00CA2D16"/>
    <w:rsid w:val="00CB2158"/>
    <w:rsid w:val="00CD37A1"/>
    <w:rsid w:val="00CD4024"/>
    <w:rsid w:val="00D156CB"/>
    <w:rsid w:val="00D25239"/>
    <w:rsid w:val="00D37579"/>
    <w:rsid w:val="00D40752"/>
    <w:rsid w:val="00D46A14"/>
    <w:rsid w:val="00D50A92"/>
    <w:rsid w:val="00D81EC7"/>
    <w:rsid w:val="00D86D54"/>
    <w:rsid w:val="00D931EE"/>
    <w:rsid w:val="00DB06A7"/>
    <w:rsid w:val="00DC1849"/>
    <w:rsid w:val="00DC220A"/>
    <w:rsid w:val="00DC2A11"/>
    <w:rsid w:val="00DD7DCD"/>
    <w:rsid w:val="00DF0810"/>
    <w:rsid w:val="00DF12DC"/>
    <w:rsid w:val="00DF1412"/>
    <w:rsid w:val="00E01249"/>
    <w:rsid w:val="00E03B35"/>
    <w:rsid w:val="00E1519E"/>
    <w:rsid w:val="00E267AD"/>
    <w:rsid w:val="00E4188B"/>
    <w:rsid w:val="00E41A3D"/>
    <w:rsid w:val="00E50A1C"/>
    <w:rsid w:val="00E6023A"/>
    <w:rsid w:val="00E62494"/>
    <w:rsid w:val="00E90B6E"/>
    <w:rsid w:val="00E90C42"/>
    <w:rsid w:val="00E97C79"/>
    <w:rsid w:val="00ED518E"/>
    <w:rsid w:val="00EE1E8B"/>
    <w:rsid w:val="00EE1F66"/>
    <w:rsid w:val="00EE23DD"/>
    <w:rsid w:val="00EE5A87"/>
    <w:rsid w:val="00EF1893"/>
    <w:rsid w:val="00EF19C4"/>
    <w:rsid w:val="00EF27E5"/>
    <w:rsid w:val="00EF3CD7"/>
    <w:rsid w:val="00EF4075"/>
    <w:rsid w:val="00F0301D"/>
    <w:rsid w:val="00F04488"/>
    <w:rsid w:val="00F17F5E"/>
    <w:rsid w:val="00F2084D"/>
    <w:rsid w:val="00F45163"/>
    <w:rsid w:val="00F54B45"/>
    <w:rsid w:val="00F60B14"/>
    <w:rsid w:val="00FA10E0"/>
    <w:rsid w:val="00FB1A7D"/>
    <w:rsid w:val="00FB592B"/>
    <w:rsid w:val="00FD2FD4"/>
    <w:rsid w:val="00FD434A"/>
    <w:rsid w:val="00FD49CF"/>
    <w:rsid w:val="00FE369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5816F"/>
  <w15:chartTrackingRefBased/>
  <w15:docId w15:val="{AD59997E-A672-2841-B5B4-BEC93CD7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BB599B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18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5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Bay</dc:creator>
  <cp:keywords/>
  <dc:description/>
  <cp:lastModifiedBy>Sarah Bay</cp:lastModifiedBy>
  <cp:revision>1</cp:revision>
  <dcterms:created xsi:type="dcterms:W3CDTF">2018-08-20T18:12:00Z</dcterms:created>
  <dcterms:modified xsi:type="dcterms:W3CDTF">2018-08-20T18:13:00Z</dcterms:modified>
</cp:coreProperties>
</file>