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F1E2F" w14:textId="77777777" w:rsidR="003965C5" w:rsidRPr="00AD0F08" w:rsidRDefault="003965C5" w:rsidP="003965C5">
      <w:pPr>
        <w:spacing w:line="276" w:lineRule="auto"/>
        <w:jc w:val="both"/>
        <w:rPr>
          <w:rFonts w:asciiTheme="minorHAnsi" w:hAnsiTheme="minorHAnsi" w:cs="Arial"/>
          <w:bCs/>
        </w:rPr>
      </w:pPr>
      <w:r w:rsidRPr="00AD0F08">
        <w:rPr>
          <w:rFonts w:asciiTheme="minorHAnsi" w:hAnsiTheme="minorHAnsi" w:cs="Arial"/>
          <w:b/>
          <w:bCs/>
        </w:rPr>
        <w:t xml:space="preserve">Supplementary text: </w:t>
      </w:r>
      <w:r w:rsidRPr="00AD0F08">
        <w:rPr>
          <w:rFonts w:asciiTheme="minorHAnsi" w:hAnsiTheme="minorHAnsi" w:cs="Arial"/>
          <w:bCs/>
        </w:rPr>
        <w:t xml:space="preserve">Programs and commands used for quality filtering, mapping, visualization, and SNP calling for genome sequencing data and assembly of long-read SMRT sequencing reads of the </w:t>
      </w:r>
      <w:r w:rsidRPr="00AD0F08">
        <w:rPr>
          <w:rFonts w:asciiTheme="minorHAnsi" w:hAnsiTheme="minorHAnsi" w:cs="Arial"/>
          <w:bCs/>
          <w:i/>
        </w:rPr>
        <w:t>Zymoseptoria ardabiliae</w:t>
      </w:r>
      <w:r w:rsidRPr="00AD0F08">
        <w:rPr>
          <w:rFonts w:asciiTheme="minorHAnsi" w:hAnsiTheme="minorHAnsi" w:cs="Arial"/>
          <w:bCs/>
        </w:rPr>
        <w:t xml:space="preserve"> reference strain Za17.</w:t>
      </w:r>
    </w:p>
    <w:p w14:paraId="40A9843D" w14:textId="77777777" w:rsidR="003965C5" w:rsidRDefault="003965C5" w:rsidP="003965C5">
      <w:pPr>
        <w:rPr>
          <w:rFonts w:asciiTheme="minorHAnsi" w:hAnsiTheme="minorHAnsi" w:cs="Arial"/>
          <w:b/>
          <w:bCs/>
        </w:rPr>
      </w:pPr>
    </w:p>
    <w:p w14:paraId="33281B3D" w14:textId="3B016C6E" w:rsidR="003965C5" w:rsidRPr="00AD0F08" w:rsidRDefault="003965C5" w:rsidP="003965C5">
      <w:pPr>
        <w:rPr>
          <w:rFonts w:asciiTheme="minorHAnsi" w:hAnsiTheme="minorHAnsi" w:cs="Arial"/>
          <w:b/>
          <w:bCs/>
        </w:rPr>
      </w:pPr>
      <w:r w:rsidRPr="00AD0F08">
        <w:rPr>
          <w:rFonts w:asciiTheme="minorHAnsi" w:hAnsiTheme="minorHAnsi" w:cs="Arial"/>
          <w:b/>
          <w:bCs/>
        </w:rPr>
        <w:t xml:space="preserve">Quality filtering </w:t>
      </w:r>
    </w:p>
    <w:p w14:paraId="24A9D2B2" w14:textId="77777777" w:rsidR="003965C5" w:rsidRPr="00AD0F08" w:rsidRDefault="003965C5" w:rsidP="003965C5">
      <w:pPr>
        <w:rPr>
          <w:rFonts w:asciiTheme="minorHAnsi" w:hAnsiTheme="minorHAnsi" w:cs="Arial"/>
          <w:b/>
          <w:bCs/>
        </w:rPr>
      </w:pPr>
    </w:p>
    <w:p w14:paraId="2204C0D8" w14:textId="77777777" w:rsidR="003965C5" w:rsidRPr="00AD0F08" w:rsidRDefault="003965C5" w:rsidP="003965C5">
      <w:pPr>
        <w:rPr>
          <w:rFonts w:asciiTheme="minorHAnsi" w:hAnsiTheme="minorHAnsi" w:cs="Arial"/>
        </w:rPr>
      </w:pPr>
      <w:r w:rsidRPr="00AD0F08">
        <w:rPr>
          <w:rFonts w:asciiTheme="minorHAnsi" w:hAnsiTheme="minorHAnsi" w:cs="Arial"/>
          <w:b/>
          <w:bCs/>
        </w:rPr>
        <w:t>Trimmomatic version 0.36</w:t>
      </w:r>
      <w:r w:rsidRPr="00AD0F08">
        <w:rPr>
          <w:rFonts w:asciiTheme="minorHAnsi" w:hAnsiTheme="minorHAnsi" w:cs="Arial"/>
        </w:rPr>
        <w:t xml:space="preserve"> </w:t>
      </w:r>
      <w:r w:rsidRPr="00AD0F08">
        <w:rPr>
          <w:rFonts w:asciiTheme="minorHAnsi" w:hAnsiTheme="minorHAnsi" w:cs="Arial"/>
        </w:rPr>
        <w:fldChar w:fldCharType="begin" w:fldLock="1"/>
      </w:r>
      <w:r>
        <w:rPr>
          <w:rFonts w:asciiTheme="minorHAnsi" w:hAnsiTheme="minorHAnsi" w:cs="Arial"/>
        </w:rPr>
        <w:instrText>ADDIN CSL_CITATION {"citationItems":[{"id":"ITEM-1","itemData":{"DOI":"10.1093/bioinformatics/btu170","ISBN":"1367-4803","ISSN":"14602059","PMID":"24695404","abstract":"MOTIVATION: Although many next-generation sequencing (NGS) read preprocessing tools already existed, we could not find any tool or combination of tools that met our requirements in terms of flexibility, correct handling of paired-end data and high performance. We have developed Trimmomatic as a more flexible and efficient preprocessing tool, which could correctly handle paired-end data.\\n\\nRESULTS: The value of NGS read preprocessing is demonstrated for both reference-based and reference-free tasks. Trimmomatic is shown to produce output that is at least competitive with, and in many cases superior to, that produced by other tools, in all scenarios tested.\\n\\nAVAILABILITY AND IMPLEMENTATION: Trimmomatic is licensed under GPL V3. It is cross-platform (Java 1.5+ required) and available at http://www.usadellab.org/cms/index.php?page=trimmomatic\\n\\nCONTACT: usadel@bio1.rwth-aachen.de\\n\\nSUPPLEMENTARY INFORMATION: Supplementary data are available at Bioinformatics online.","author":[{"dropping-particle":"","family":"Bolger","given":"Anthony M.","non-dropping-particle":"","parse-names":false,"suffix":""},{"dropping-particle":"","family":"Lohse","given":"Marc","non-dropping-particle":"","parse-names":false,"suffix":""},{"dropping-particle":"","family":"Usadel","given":"Bjoern","non-dropping-particle":"","parse-names":false,"suffix":""}],"container-title":"Bioinformatics","id":"ITEM-1","issue":"15","issued":{"date-parts":[["2014"]]},"page":"2114-2120","title":"Trimmomatic: A flexible trimmer for Illumina sequence data","type":"article-journal","volume":"30"},"uris":["http://www.mendeley.com/documents/?uuid=618def47-eed0-48b9-9048-e73d60888ff3"]}],"mendeley":{"formattedCitation":"(Bolger &lt;i&gt;et al.&lt;/i&gt;, 2014)","plainTextFormattedCitation":"(Bolger et al., 2014)","previouslyFormattedCitation":"(Bolger &lt;i&gt;et al.&lt;/i&gt;, 2014)"},"properties":{"noteIndex":0},"schema":"https://github.com/citation-style-language/schema/raw/master/csl-citation.json"}</w:instrText>
      </w:r>
      <w:r w:rsidRPr="00AD0F08">
        <w:rPr>
          <w:rFonts w:asciiTheme="minorHAnsi" w:hAnsiTheme="minorHAnsi" w:cs="Arial"/>
        </w:rPr>
        <w:fldChar w:fldCharType="separate"/>
      </w:r>
      <w:r w:rsidRPr="00C75FE6">
        <w:rPr>
          <w:rFonts w:asciiTheme="minorHAnsi" w:hAnsiTheme="minorHAnsi" w:cs="Arial"/>
          <w:noProof/>
        </w:rPr>
        <w:t xml:space="preserve">(Bolger </w:t>
      </w:r>
      <w:r w:rsidRPr="00C75FE6">
        <w:rPr>
          <w:rFonts w:asciiTheme="minorHAnsi" w:hAnsiTheme="minorHAnsi" w:cs="Arial"/>
          <w:i/>
          <w:noProof/>
        </w:rPr>
        <w:t>et al.</w:t>
      </w:r>
      <w:r w:rsidRPr="00C75FE6">
        <w:rPr>
          <w:rFonts w:asciiTheme="minorHAnsi" w:hAnsiTheme="minorHAnsi" w:cs="Arial"/>
          <w:noProof/>
        </w:rPr>
        <w:t>, 2014)</w:t>
      </w:r>
      <w:r w:rsidRPr="00AD0F08">
        <w:rPr>
          <w:rFonts w:asciiTheme="minorHAnsi" w:hAnsiTheme="minorHAnsi" w:cs="Arial"/>
        </w:rPr>
        <w:fldChar w:fldCharType="end"/>
      </w:r>
    </w:p>
    <w:p w14:paraId="2B66F191" w14:textId="77777777" w:rsidR="003965C5" w:rsidRPr="00AD0F08" w:rsidRDefault="003965C5" w:rsidP="003965C5">
      <w:pPr>
        <w:rPr>
          <w:rFonts w:asciiTheme="minorHAnsi" w:hAnsiTheme="minorHAnsi" w:cs="Arial"/>
          <w:b/>
          <w:bCs/>
        </w:rPr>
      </w:pPr>
      <w:r w:rsidRPr="00AD0F08">
        <w:rPr>
          <w:rFonts w:asciiTheme="minorHAnsi" w:hAnsiTheme="minorHAnsi" w:cs="Arial"/>
          <w:b/>
          <w:bCs/>
        </w:rPr>
        <w:t xml:space="preserve">  </w:t>
      </w:r>
    </w:p>
    <w:p w14:paraId="274E0C03" w14:textId="77777777" w:rsidR="003965C5" w:rsidRPr="00AD0F08" w:rsidRDefault="003965C5" w:rsidP="003965C5">
      <w:pPr>
        <w:rPr>
          <w:rFonts w:asciiTheme="minorHAnsi" w:hAnsiTheme="minorHAnsi" w:cs="Arial"/>
        </w:rPr>
      </w:pPr>
      <w:r w:rsidRPr="00AD0F08">
        <w:rPr>
          <w:rFonts w:asciiTheme="minorHAnsi" w:hAnsiTheme="minorHAnsi" w:cs="Arial"/>
        </w:rPr>
        <w:t>java -jar trimmomatic-0.36.jar PE -threads 8 -phred33 R1_sample_1.fastq.gz R2_sample_1.fastq.gz R1_</w:t>
      </w:r>
      <w:proofErr w:type="gramStart"/>
      <w:r w:rsidRPr="00AD0F08">
        <w:rPr>
          <w:rFonts w:asciiTheme="minorHAnsi" w:hAnsiTheme="minorHAnsi" w:cs="Arial"/>
        </w:rPr>
        <w:t>paired.fastq</w:t>
      </w:r>
      <w:proofErr w:type="gramEnd"/>
      <w:r w:rsidRPr="00AD0F08">
        <w:rPr>
          <w:rFonts w:asciiTheme="minorHAnsi" w:hAnsiTheme="minorHAnsi" w:cs="Arial"/>
        </w:rPr>
        <w:t xml:space="preserve"> R1_unpaired.fastq R2_paired.fastq R2_unpaired.fastq HEADCROP:10 CROP:149 LEADING:3 T</w:t>
      </w:r>
      <w:bookmarkStart w:id="0" w:name="_GoBack"/>
      <w:bookmarkEnd w:id="0"/>
      <w:r w:rsidRPr="00AD0F08">
        <w:rPr>
          <w:rFonts w:asciiTheme="minorHAnsi" w:hAnsiTheme="minorHAnsi" w:cs="Arial"/>
        </w:rPr>
        <w:t>RAILING:3 SLIDINGWINDOW:4:15 MINLEN:50</w:t>
      </w:r>
    </w:p>
    <w:p w14:paraId="782F9BBD" w14:textId="77777777" w:rsidR="003965C5" w:rsidRPr="00AD0F08" w:rsidRDefault="003965C5" w:rsidP="003965C5">
      <w:pPr>
        <w:rPr>
          <w:rFonts w:asciiTheme="minorHAnsi" w:hAnsiTheme="minorHAnsi" w:cs="Arial"/>
        </w:rPr>
      </w:pPr>
    </w:p>
    <w:p w14:paraId="55769AE5" w14:textId="77777777" w:rsidR="003965C5" w:rsidRPr="00AD0F08" w:rsidRDefault="003965C5" w:rsidP="003965C5">
      <w:pPr>
        <w:rPr>
          <w:rFonts w:asciiTheme="minorHAnsi" w:hAnsiTheme="minorHAnsi" w:cs="Arial"/>
          <w:b/>
          <w:bCs/>
        </w:rPr>
      </w:pPr>
    </w:p>
    <w:p w14:paraId="42211922" w14:textId="77777777" w:rsidR="003965C5" w:rsidRPr="00AD0F08" w:rsidRDefault="003965C5" w:rsidP="003965C5">
      <w:pPr>
        <w:rPr>
          <w:rFonts w:asciiTheme="minorHAnsi" w:hAnsiTheme="minorHAnsi" w:cs="Arial"/>
          <w:b/>
          <w:bCs/>
        </w:rPr>
      </w:pPr>
      <w:r w:rsidRPr="00AD0F08">
        <w:rPr>
          <w:rFonts w:asciiTheme="minorHAnsi" w:hAnsiTheme="minorHAnsi" w:cs="Arial"/>
          <w:b/>
          <w:bCs/>
        </w:rPr>
        <w:t>Mapping</w:t>
      </w:r>
    </w:p>
    <w:p w14:paraId="0ACE144E" w14:textId="77777777" w:rsidR="003965C5" w:rsidRPr="00AD0F08" w:rsidRDefault="003965C5" w:rsidP="003965C5">
      <w:pPr>
        <w:rPr>
          <w:rFonts w:asciiTheme="minorHAnsi" w:hAnsiTheme="minorHAnsi" w:cs="Arial"/>
          <w:b/>
          <w:bCs/>
        </w:rPr>
      </w:pPr>
    </w:p>
    <w:p w14:paraId="1EEDBDD8" w14:textId="77777777" w:rsidR="003965C5" w:rsidRPr="00AD0F08" w:rsidRDefault="003965C5" w:rsidP="003965C5">
      <w:pPr>
        <w:rPr>
          <w:rFonts w:asciiTheme="minorHAnsi" w:hAnsiTheme="minorHAnsi" w:cs="Arial"/>
          <w:color w:val="000000"/>
        </w:rPr>
      </w:pPr>
      <w:r w:rsidRPr="00AD0F08">
        <w:rPr>
          <w:rFonts w:asciiTheme="minorHAnsi" w:hAnsiTheme="minorHAnsi" w:cs="Arial"/>
          <w:b/>
          <w:bCs/>
        </w:rPr>
        <w:t xml:space="preserve">bowtie2 version 2.1.0 </w:t>
      </w:r>
      <w:r w:rsidRPr="00AD0F08">
        <w:rPr>
          <w:rFonts w:asciiTheme="minorHAnsi" w:hAnsiTheme="minorHAnsi" w:cs="Arial"/>
          <w:color w:val="000000"/>
        </w:rPr>
        <w:fldChar w:fldCharType="begin" w:fldLock="1"/>
      </w:r>
      <w:r>
        <w:rPr>
          <w:rFonts w:asciiTheme="minorHAnsi" w:hAnsiTheme="minorHAnsi" w:cs="Arial"/>
          <w:color w:val="000000"/>
        </w:rPr>
        <w:instrText>ADDIN CSL_CITATION {"citationItems":[{"id":"ITEM-1","itemData":{"DOI":"10.1038/nmeth.1923","ISBN":"1548-7105 (Electronic) 1548-7091 (Linking)","ISSN":"1548-7105","PMID":"22388286","abstract":"As the rate of sequencing increases, greater throughput is demanded from read aligners. The full-text minute index is often used to make alignment very fast and memory-efficient, but the approach is ill-suited to finding longer, gapped alignments. Bowtie 2 combines the strengths of the full-text minute index with the flexibility and speed of hardware-accelerated dynamic programming algorithms to achieve a combination of high speed, sensitivity and accuracy.","author":[{"dropping-particle":"","family":"Langmead","given":"Ben","non-dropping-particle":"","parse-names":false,"suffix":""},{"dropping-particle":"","family":"Salzberg","given":"Steven L","non-dropping-particle":"","parse-names":false,"suffix":""}],"container-title":"Nat Methods","id":"ITEM-1","issue":"4","issued":{"date-parts":[["2012"]]},"page":"357-359","title":"Fast gapped-read alignment with Bowtie 2","type":"article-journal","volume":"9"},"uris":["http://www.mendeley.com/documents/?uuid=c5d5bb9f-b557-45da-9b0f-a54b431cc8d0"]}],"mendeley":{"formattedCitation":"(Langmead &amp; Salzberg, 2012)","plainTextFormattedCitation":"(Langmead &amp; Salzberg, 2012)","previouslyFormattedCitation":"(Langmead &amp; Salzberg, 2012)"},"properties":{"noteIndex":0},"schema":"https://github.com/citation-style-language/schema/raw/master/csl-citation.json"}</w:instrText>
      </w:r>
      <w:r w:rsidRPr="00AD0F08">
        <w:rPr>
          <w:rFonts w:asciiTheme="minorHAnsi" w:hAnsiTheme="minorHAnsi" w:cs="Arial"/>
          <w:color w:val="000000"/>
        </w:rPr>
        <w:fldChar w:fldCharType="separate"/>
      </w:r>
      <w:r w:rsidRPr="00C75FE6">
        <w:rPr>
          <w:rFonts w:asciiTheme="minorHAnsi" w:hAnsiTheme="minorHAnsi" w:cs="Arial"/>
          <w:noProof/>
          <w:color w:val="000000"/>
        </w:rPr>
        <w:t>(Langmead &amp; Salzberg, 2012)</w:t>
      </w:r>
      <w:r w:rsidRPr="00AD0F08">
        <w:rPr>
          <w:rFonts w:asciiTheme="minorHAnsi" w:hAnsiTheme="minorHAnsi" w:cs="Arial"/>
          <w:color w:val="000000"/>
        </w:rPr>
        <w:fldChar w:fldCharType="end"/>
      </w:r>
    </w:p>
    <w:p w14:paraId="2198C237" w14:textId="77777777" w:rsidR="003965C5" w:rsidRPr="00AD0F08" w:rsidRDefault="003965C5" w:rsidP="003965C5">
      <w:pPr>
        <w:rPr>
          <w:rFonts w:asciiTheme="minorHAnsi" w:hAnsiTheme="minorHAnsi" w:cs="Arial"/>
        </w:rPr>
      </w:pPr>
    </w:p>
    <w:p w14:paraId="7C5F7B0A" w14:textId="77777777" w:rsidR="003965C5" w:rsidRPr="00AD0F08" w:rsidRDefault="003965C5" w:rsidP="003965C5">
      <w:pPr>
        <w:rPr>
          <w:rFonts w:asciiTheme="minorHAnsi" w:hAnsiTheme="minorHAnsi" w:cs="Arial"/>
        </w:rPr>
      </w:pPr>
      <w:r w:rsidRPr="00AD0F08">
        <w:rPr>
          <w:rFonts w:asciiTheme="minorHAnsi" w:hAnsiTheme="minorHAnsi" w:cs="Arial"/>
        </w:rPr>
        <w:t>bowtie2 -p8 -q -x reference -1 R1_</w:t>
      </w:r>
      <w:proofErr w:type="gramStart"/>
      <w:r w:rsidRPr="00AD0F08">
        <w:rPr>
          <w:rFonts w:asciiTheme="minorHAnsi" w:hAnsiTheme="minorHAnsi" w:cs="Arial"/>
        </w:rPr>
        <w:t>paired.fastq</w:t>
      </w:r>
      <w:proofErr w:type="gramEnd"/>
      <w:r w:rsidRPr="00AD0F08">
        <w:rPr>
          <w:rFonts w:asciiTheme="minorHAnsi" w:hAnsiTheme="minorHAnsi" w:cs="Arial"/>
        </w:rPr>
        <w:t xml:space="preserve"> -2  R2_paired.fastq -S sample_1.sam</w:t>
      </w:r>
    </w:p>
    <w:p w14:paraId="76001E46" w14:textId="77777777" w:rsidR="003965C5" w:rsidRPr="00AD0F08" w:rsidRDefault="003965C5" w:rsidP="003965C5">
      <w:pPr>
        <w:rPr>
          <w:rFonts w:asciiTheme="minorHAnsi" w:hAnsiTheme="minorHAnsi" w:cs="Arial"/>
        </w:rPr>
      </w:pPr>
    </w:p>
    <w:p w14:paraId="7D965624" w14:textId="77777777" w:rsidR="003965C5" w:rsidRPr="00AD0F08" w:rsidRDefault="003965C5" w:rsidP="003965C5">
      <w:pPr>
        <w:rPr>
          <w:rFonts w:asciiTheme="minorHAnsi" w:hAnsiTheme="minorHAnsi" w:cs="Arial"/>
          <w:b/>
          <w:bCs/>
        </w:rPr>
      </w:pPr>
    </w:p>
    <w:p w14:paraId="0B73A6E1" w14:textId="77777777" w:rsidR="003965C5" w:rsidRPr="00AD0F08" w:rsidRDefault="003965C5" w:rsidP="003965C5">
      <w:pPr>
        <w:rPr>
          <w:rFonts w:asciiTheme="minorHAnsi" w:hAnsiTheme="minorHAnsi" w:cs="Arial"/>
          <w:b/>
          <w:bCs/>
        </w:rPr>
      </w:pPr>
      <w:r w:rsidRPr="00AD0F08">
        <w:rPr>
          <w:rFonts w:asciiTheme="minorHAnsi" w:hAnsiTheme="minorHAnsi" w:cs="Arial"/>
          <w:b/>
          <w:bCs/>
        </w:rPr>
        <w:t>Sorting and indexing</w:t>
      </w:r>
    </w:p>
    <w:p w14:paraId="6ED5CCB1" w14:textId="77777777" w:rsidR="003965C5" w:rsidRPr="00AD0F08" w:rsidRDefault="003965C5" w:rsidP="003965C5">
      <w:pPr>
        <w:rPr>
          <w:rFonts w:asciiTheme="minorHAnsi" w:hAnsiTheme="minorHAnsi" w:cs="Arial"/>
          <w:b/>
          <w:bCs/>
        </w:rPr>
      </w:pPr>
    </w:p>
    <w:p w14:paraId="1B1AA308" w14:textId="77777777" w:rsidR="003965C5" w:rsidRPr="00AD0F08" w:rsidRDefault="003965C5" w:rsidP="003965C5">
      <w:pPr>
        <w:rPr>
          <w:rFonts w:asciiTheme="minorHAnsi" w:hAnsiTheme="minorHAnsi" w:cs="Arial"/>
          <w:b/>
          <w:bCs/>
        </w:rPr>
      </w:pPr>
      <w:r w:rsidRPr="00AD0F08">
        <w:rPr>
          <w:rFonts w:asciiTheme="minorHAnsi" w:hAnsiTheme="minorHAnsi" w:cs="Arial"/>
          <w:b/>
          <w:bCs/>
        </w:rPr>
        <w:t xml:space="preserve">samtools version 1.3.1 </w:t>
      </w:r>
      <w:r w:rsidRPr="00AD0F08">
        <w:rPr>
          <w:rFonts w:asciiTheme="minorHAnsi" w:hAnsiTheme="minorHAnsi" w:cs="Arial"/>
          <w:b/>
          <w:bCs/>
        </w:rPr>
        <w:fldChar w:fldCharType="begin" w:fldLock="1"/>
      </w:r>
      <w:r>
        <w:rPr>
          <w:rFonts w:asciiTheme="minorHAnsi" w:hAnsiTheme="minorHAnsi" w:cs="Arial"/>
          <w:b/>
          <w:bCs/>
        </w:rPr>
        <w:instrText>ADDIN CSL_CITATION {"citationItems":[{"id":"ITEM-1","itemData":{"DOI":"10.1093/bioinformatics/btr509","ISBN":"1367-4811 (Electronic)\\r1367-4803 (Linking)","ISSN":"13674803","PMID":"21903627","abstract":"MOTIVATION: Most existing methods for DNA sequence analysis rely on accurate sequences or genotypes. However, in applications of the next-generation sequencing (NGS), accurate genotypes may not be easily obtained (e.g. multi-sample low-coverage sequencing or somatic mutation discovery). These applications press for the development of new methods for analyzing sequence data with uncertainty.\\n\\nRESULTS: We present a statistical framework for calling SNPs, discovering somatic mutations, inferring population genetical parameters and performing association tests directly based on sequencing data without explicit genotyping or linkage-based imputation. On real data, we demonstrate that our method achieves comparable accuracy to alternative methods for estimating site allele count, for inferring allele frequency spectrum and for association mapping. We also highlight the necessity of using symmetric datasets for finding somatic mutations and confirm that for discovering rare events, mismapping is frequently the leading source of errors.\\n\\nAVAILABILITY: http://samtools.sourceforge.net.\\n\\nCONTACT: hengli@broadinstitute.org.","author":[{"dropping-particle":"","family":"Li","given":"Heng","non-dropping-particle":"","parse-names":false,"suffix":""}],"container-title":"Bioinformatics","id":"ITEM-1","issue":"21","issued":{"date-parts":[["2011"]]},"page":"2987-2993","title":"A statistical framework for SNP calling, mutation discovery, association mapping and population genetical parameter estimation from sequencing data","type":"article-journal","volume":"27"},"uris":["http://www.mendeley.com/documents/?uuid=6951a46a-0064-408d-8040-66567c917368"]}],"mendeley":{"formattedCitation":"(Li, 2011)","plainTextFormattedCitation":"(Li, 2011)","previouslyFormattedCitation":"(Li, 2011)"},"properties":{"noteIndex":0},"schema":"https://github.com/citation-style-language/schema/raw/master/csl-citation.json"}</w:instrText>
      </w:r>
      <w:r w:rsidRPr="00AD0F08">
        <w:rPr>
          <w:rFonts w:asciiTheme="minorHAnsi" w:hAnsiTheme="minorHAnsi" w:cs="Arial"/>
          <w:b/>
          <w:bCs/>
        </w:rPr>
        <w:fldChar w:fldCharType="separate"/>
      </w:r>
      <w:r w:rsidRPr="00C75FE6">
        <w:rPr>
          <w:rFonts w:asciiTheme="minorHAnsi" w:hAnsiTheme="minorHAnsi" w:cs="Arial"/>
          <w:bCs/>
          <w:noProof/>
        </w:rPr>
        <w:t>(Li, 2011)</w:t>
      </w:r>
      <w:r w:rsidRPr="00AD0F08">
        <w:rPr>
          <w:rFonts w:asciiTheme="minorHAnsi" w:hAnsiTheme="minorHAnsi" w:cs="Arial"/>
          <w:b/>
          <w:bCs/>
        </w:rPr>
        <w:fldChar w:fldCharType="end"/>
      </w:r>
    </w:p>
    <w:p w14:paraId="67ED1FC7" w14:textId="77777777" w:rsidR="003965C5" w:rsidRPr="00AD0F08" w:rsidRDefault="003965C5" w:rsidP="003965C5">
      <w:pPr>
        <w:rPr>
          <w:rFonts w:asciiTheme="minorHAnsi" w:hAnsiTheme="minorHAnsi" w:cs="Arial"/>
        </w:rPr>
      </w:pPr>
    </w:p>
    <w:p w14:paraId="0EE90623" w14:textId="77777777" w:rsidR="003965C5" w:rsidRPr="00AD0F08" w:rsidRDefault="003965C5" w:rsidP="003965C5">
      <w:pPr>
        <w:rPr>
          <w:rFonts w:asciiTheme="minorHAnsi" w:hAnsiTheme="minorHAnsi" w:cs="Arial"/>
        </w:rPr>
      </w:pPr>
      <w:r w:rsidRPr="00AD0F08">
        <w:rPr>
          <w:rFonts w:asciiTheme="minorHAnsi" w:hAnsiTheme="minorHAnsi" w:cs="Arial"/>
        </w:rPr>
        <w:t xml:space="preserve">samtools view -Sb </w:t>
      </w:r>
      <w:proofErr w:type="gramStart"/>
      <w:r w:rsidRPr="00AD0F08">
        <w:rPr>
          <w:rFonts w:asciiTheme="minorHAnsi" w:hAnsiTheme="minorHAnsi" w:cs="Arial"/>
        </w:rPr>
        <w:t>sample_1.sam  &gt;</w:t>
      </w:r>
      <w:proofErr w:type="gramEnd"/>
      <w:r w:rsidRPr="00AD0F08">
        <w:rPr>
          <w:rFonts w:asciiTheme="minorHAnsi" w:hAnsiTheme="minorHAnsi" w:cs="Arial"/>
        </w:rPr>
        <w:t xml:space="preserve"> sample_1.bam</w:t>
      </w:r>
    </w:p>
    <w:p w14:paraId="1C9D3553" w14:textId="77777777" w:rsidR="003965C5" w:rsidRPr="00AD0F08" w:rsidRDefault="003965C5" w:rsidP="003965C5">
      <w:pPr>
        <w:rPr>
          <w:rFonts w:asciiTheme="minorHAnsi" w:hAnsiTheme="minorHAnsi" w:cs="Arial"/>
        </w:rPr>
      </w:pPr>
    </w:p>
    <w:p w14:paraId="56136500" w14:textId="77777777" w:rsidR="003965C5" w:rsidRPr="00AD0F08" w:rsidRDefault="003965C5" w:rsidP="003965C5">
      <w:pPr>
        <w:rPr>
          <w:rFonts w:asciiTheme="minorHAnsi" w:hAnsiTheme="minorHAnsi" w:cs="Arial"/>
        </w:rPr>
      </w:pPr>
      <w:r w:rsidRPr="00AD0F08">
        <w:rPr>
          <w:rFonts w:asciiTheme="minorHAnsi" w:hAnsiTheme="minorHAnsi" w:cs="Arial"/>
        </w:rPr>
        <w:t>samtools sort sample_1.bam &gt; sample_1_sorted.bam</w:t>
      </w:r>
    </w:p>
    <w:p w14:paraId="4116A584" w14:textId="77777777" w:rsidR="003965C5" w:rsidRPr="00AD0F08" w:rsidRDefault="003965C5" w:rsidP="003965C5">
      <w:pPr>
        <w:rPr>
          <w:rFonts w:asciiTheme="minorHAnsi" w:hAnsiTheme="minorHAnsi" w:cs="Arial"/>
        </w:rPr>
      </w:pPr>
    </w:p>
    <w:p w14:paraId="1CD87DBD" w14:textId="77777777" w:rsidR="003965C5" w:rsidRPr="00AD0F08" w:rsidRDefault="003965C5" w:rsidP="003965C5">
      <w:pPr>
        <w:rPr>
          <w:rFonts w:asciiTheme="minorHAnsi" w:hAnsiTheme="minorHAnsi" w:cs="Arial"/>
        </w:rPr>
      </w:pPr>
      <w:r w:rsidRPr="00AD0F08">
        <w:rPr>
          <w:rFonts w:asciiTheme="minorHAnsi" w:hAnsiTheme="minorHAnsi" w:cs="Arial"/>
        </w:rPr>
        <w:t>samtools index sample_1_sorted.bam</w:t>
      </w:r>
    </w:p>
    <w:p w14:paraId="385C8BC2" w14:textId="77777777" w:rsidR="003965C5" w:rsidRPr="00AD0F08" w:rsidRDefault="003965C5" w:rsidP="003965C5">
      <w:pPr>
        <w:rPr>
          <w:rFonts w:asciiTheme="minorHAnsi" w:hAnsiTheme="minorHAnsi" w:cs="Arial"/>
          <w:b/>
        </w:rPr>
      </w:pPr>
    </w:p>
    <w:p w14:paraId="516A71FC" w14:textId="77777777" w:rsidR="003965C5" w:rsidRPr="00AD0F08" w:rsidRDefault="003965C5" w:rsidP="003965C5">
      <w:pPr>
        <w:rPr>
          <w:rFonts w:asciiTheme="minorHAnsi" w:hAnsiTheme="minorHAnsi" w:cs="Arial"/>
          <w:b/>
        </w:rPr>
      </w:pPr>
    </w:p>
    <w:p w14:paraId="7BA3A896" w14:textId="77777777" w:rsidR="003965C5" w:rsidRPr="00AD0F08" w:rsidRDefault="003965C5" w:rsidP="003965C5">
      <w:pPr>
        <w:rPr>
          <w:rFonts w:asciiTheme="minorHAnsi" w:hAnsiTheme="minorHAnsi" w:cs="Arial"/>
          <w:b/>
        </w:rPr>
      </w:pPr>
      <w:r w:rsidRPr="00AD0F08">
        <w:rPr>
          <w:rFonts w:asciiTheme="minorHAnsi" w:hAnsiTheme="minorHAnsi" w:cs="Arial"/>
          <w:b/>
        </w:rPr>
        <w:t>Extraction of discordant reads mapping to different chromosomes</w:t>
      </w:r>
    </w:p>
    <w:p w14:paraId="50876CBD" w14:textId="77777777" w:rsidR="003965C5" w:rsidRPr="00AD0F08" w:rsidRDefault="003965C5" w:rsidP="003965C5">
      <w:pPr>
        <w:rPr>
          <w:rFonts w:asciiTheme="minorHAnsi" w:hAnsiTheme="minorHAnsi" w:cs="Arial"/>
        </w:rPr>
      </w:pPr>
    </w:p>
    <w:p w14:paraId="76637E60" w14:textId="77777777" w:rsidR="003965C5" w:rsidRPr="00AD0F08" w:rsidRDefault="003965C5" w:rsidP="003965C5">
      <w:pPr>
        <w:rPr>
          <w:rFonts w:asciiTheme="minorHAnsi" w:hAnsiTheme="minorHAnsi" w:cs="Arial"/>
        </w:rPr>
      </w:pPr>
      <w:r w:rsidRPr="00AD0F08">
        <w:rPr>
          <w:rFonts w:asciiTheme="minorHAnsi" w:hAnsiTheme="minorHAnsi" w:cs="Arial"/>
        </w:rPr>
        <w:t xml:space="preserve">samtools view -F 14 -h </w:t>
      </w:r>
      <w:proofErr w:type="spellStart"/>
      <w:r w:rsidRPr="00AD0F08">
        <w:rPr>
          <w:rFonts w:asciiTheme="minorHAnsi" w:hAnsiTheme="minorHAnsi" w:cs="Arial"/>
        </w:rPr>
        <w:t>input_sorted.bam</w:t>
      </w:r>
      <w:proofErr w:type="spellEnd"/>
      <w:r w:rsidRPr="00AD0F08">
        <w:rPr>
          <w:rFonts w:asciiTheme="minorHAnsi" w:hAnsiTheme="minorHAnsi" w:cs="Arial"/>
        </w:rPr>
        <w:t xml:space="preserve"> | </w:t>
      </w:r>
      <w:proofErr w:type="spellStart"/>
      <w:r w:rsidRPr="00AD0F08">
        <w:rPr>
          <w:rFonts w:asciiTheme="minorHAnsi" w:hAnsiTheme="minorHAnsi" w:cs="Arial"/>
        </w:rPr>
        <w:t>awk</w:t>
      </w:r>
      <w:proofErr w:type="spellEnd"/>
      <w:r w:rsidRPr="00AD0F08">
        <w:rPr>
          <w:rFonts w:asciiTheme="minorHAnsi" w:hAnsiTheme="minorHAnsi" w:cs="Arial"/>
        </w:rPr>
        <w:t xml:space="preserve"> '($</w:t>
      </w:r>
      <w:proofErr w:type="gramStart"/>
      <w:r w:rsidRPr="00AD0F08">
        <w:rPr>
          <w:rFonts w:asciiTheme="minorHAnsi" w:hAnsiTheme="minorHAnsi" w:cs="Arial"/>
        </w:rPr>
        <w:t>3!=</w:t>
      </w:r>
      <w:proofErr w:type="gramEnd"/>
      <w:r w:rsidRPr="00AD0F08">
        <w:rPr>
          <w:rFonts w:asciiTheme="minorHAnsi" w:hAnsiTheme="minorHAnsi" w:cs="Arial"/>
        </w:rPr>
        <w:t xml:space="preserve">$7 &amp;&amp; $7!="=")' &gt; </w:t>
      </w:r>
      <w:proofErr w:type="spellStart"/>
      <w:r w:rsidRPr="00AD0F08">
        <w:rPr>
          <w:rFonts w:asciiTheme="minorHAnsi" w:hAnsiTheme="minorHAnsi" w:cs="Arial"/>
        </w:rPr>
        <w:t>output_discordant.sam</w:t>
      </w:r>
      <w:proofErr w:type="spellEnd"/>
    </w:p>
    <w:p w14:paraId="61F42268" w14:textId="77777777" w:rsidR="003965C5" w:rsidRPr="00AD0F08" w:rsidRDefault="003965C5" w:rsidP="003965C5">
      <w:pPr>
        <w:rPr>
          <w:rFonts w:asciiTheme="minorHAnsi" w:hAnsiTheme="minorHAnsi" w:cs="Arial"/>
        </w:rPr>
      </w:pPr>
    </w:p>
    <w:p w14:paraId="6DD8E198" w14:textId="77777777" w:rsidR="003965C5" w:rsidRPr="00AD0F08" w:rsidRDefault="003965C5" w:rsidP="003965C5">
      <w:pPr>
        <w:rPr>
          <w:rFonts w:asciiTheme="minorHAnsi" w:hAnsiTheme="minorHAnsi" w:cs="Arial"/>
        </w:rPr>
      </w:pPr>
    </w:p>
    <w:p w14:paraId="3453810D" w14:textId="77777777" w:rsidR="003965C5" w:rsidRPr="00AD0F08" w:rsidRDefault="003965C5" w:rsidP="003965C5">
      <w:pPr>
        <w:rPr>
          <w:rFonts w:asciiTheme="minorHAnsi" w:hAnsiTheme="minorHAnsi" w:cs="Arial"/>
          <w:b/>
          <w:bCs/>
        </w:rPr>
      </w:pPr>
      <w:r w:rsidRPr="00AD0F08">
        <w:rPr>
          <w:rFonts w:asciiTheme="minorHAnsi" w:hAnsiTheme="minorHAnsi" w:cs="Arial"/>
          <w:b/>
          <w:bCs/>
        </w:rPr>
        <w:t>Visualization</w:t>
      </w:r>
      <w:r>
        <w:rPr>
          <w:rFonts w:asciiTheme="minorHAnsi" w:hAnsiTheme="minorHAnsi" w:cs="Arial"/>
          <w:b/>
          <w:bCs/>
        </w:rPr>
        <w:t xml:space="preserve"> </w:t>
      </w:r>
    </w:p>
    <w:p w14:paraId="028A9AE1" w14:textId="77777777" w:rsidR="003965C5" w:rsidRPr="00C75FE6" w:rsidRDefault="003965C5" w:rsidP="003965C5">
      <w:pPr>
        <w:pStyle w:val="NormalWeb"/>
        <w:rPr>
          <w:rFonts w:asciiTheme="minorHAnsi" w:hAnsiTheme="minorHAnsi" w:cstheme="minorHAnsi"/>
        </w:rPr>
      </w:pPr>
      <w:proofErr w:type="spellStart"/>
      <w:r w:rsidRPr="00C75FE6">
        <w:rPr>
          <w:rFonts w:asciiTheme="minorHAnsi" w:hAnsiTheme="minorHAnsi" w:cstheme="minorHAnsi"/>
        </w:rPr>
        <w:t>deeptools</w:t>
      </w:r>
      <w:proofErr w:type="spellEnd"/>
      <w:r w:rsidRPr="00C75FE6">
        <w:rPr>
          <w:rFonts w:asciiTheme="minorHAnsi" w:hAnsiTheme="minorHAnsi" w:cstheme="minorHAnsi"/>
        </w:rPr>
        <w:t xml:space="preserve"> version 2.5.3 </w:t>
      </w:r>
      <w:r>
        <w:rPr>
          <w:rFonts w:asciiTheme="minorHAnsi" w:hAnsiTheme="minorHAnsi" w:cstheme="minorHAnsi"/>
        </w:rPr>
        <w:fldChar w:fldCharType="begin" w:fldLock="1"/>
      </w:r>
      <w:r>
        <w:rPr>
          <w:rFonts w:asciiTheme="minorHAnsi" w:hAnsiTheme="minorHAnsi" w:cstheme="minorHAnsi"/>
        </w:rPr>
        <w:instrText>ADDIN CSL_CITATION {"citationItems":[{"id":"ITEM-1","itemData":{"DOI":"10.1093/nar/gkw257","ISBN":"13624962 (Electronic)","ISSN":"13624962","PMID":"27079975","abstract":"We present an update to our Galaxy-based web server for processing and visualizing deeply sequenced data. Its core tool set, deepTools, allows users to perform complete bioinformatic workflows ranging from quality controls and normalizations of aligned reads to integrative analyses, including clustering and visualization approaches. Since we first described our deepTools Galaxy server in 2014, we have implemented new solutions for many requests from the community and our users. Here, we introduce significant enhancements and new tools to further improve data visualization and interpretation. deepTools continue to be open to all users and freely available as a web service atdeeptools.ie-freiburg.mpg.de The new deepTools2 suite can be easily deployed within any Galaxy framework via the toolshed repository, and we also provide source code for command line usage under Linux and Mac OS X. A public and documented API for access to deepTools functionality is also available.","author":[{"dropping-particle":"","family":"Ramírez","given":"Fidel","non-dropping-particle":"","parse-names":false,"suffix":""},{"dropping-particle":"","family":"Ryan","given":"Devon P.","non-dropping-particle":"","parse-names":false,"suffix":""},{"dropping-particle":"","family":"Grüning","given":"Björn","non-dropping-particle":"","parse-names":false,"suffix":""},{"dropping-particle":"","family":"Bhardwaj","given":"Vivek","non-dropping-particle":"","parse-names":false,"suffix":""},{"dropping-particle":"","family":"Kilpert","given":"Fabian","non-dropping-particle":"","parse-names":false,"suffix":""},{"dropping-particle":"","family":"Richter","given":"Andreas S.","non-dropping-particle":"","parse-names":false,"suffix":""},{"dropping-particle":"","family":"Heyne","given":"Steffen","non-dropping-particle":"","parse-names":false,"suffix":""},{"dropping-particle":"","family":"Dündar","given":"Friederike","non-dropping-particle":"","parse-names":false,"suffix":""},{"dropping-particle":"","family":"Manke","given":"Thomas","non-dropping-particle":"","parse-names":false,"suffix":""}],"container-title":"Nucleic acids research","id":"ITEM-1","issue":"W1","issued":{"date-parts":[["2016"]]},"page":"W160-W165","title":"deepTools2: a next generation web server for deep-sequencing data analysis","type":"article-journal","volume":"44"},"uris":["http://www.mendeley.com/documents/?uuid=3df3c5c3-01cb-4179-a29f-d6434e2654c8"]}],"mendeley":{"formattedCitation":"(Ramírez &lt;i&gt;et al.&lt;/i&gt;, 2016)","plainTextFormattedCitation":"(Ramírez et al., 2016)","previouslyFormattedCitation":"(Ramírez &lt;i&gt;et al.&lt;/i&gt;, 2016)"},"properties":{"noteIndex":0},"schema":"https://github.com/citation-style-language/schema/raw/master/csl-citation.json"}</w:instrText>
      </w:r>
      <w:r>
        <w:rPr>
          <w:rFonts w:asciiTheme="minorHAnsi" w:hAnsiTheme="minorHAnsi" w:cstheme="minorHAnsi"/>
        </w:rPr>
        <w:fldChar w:fldCharType="separate"/>
      </w:r>
      <w:r w:rsidRPr="00C75FE6">
        <w:rPr>
          <w:rFonts w:asciiTheme="minorHAnsi" w:hAnsiTheme="minorHAnsi" w:cstheme="minorHAnsi"/>
          <w:noProof/>
        </w:rPr>
        <w:t xml:space="preserve">(Ramírez </w:t>
      </w:r>
      <w:r w:rsidRPr="00C75FE6">
        <w:rPr>
          <w:rFonts w:asciiTheme="minorHAnsi" w:hAnsiTheme="minorHAnsi" w:cstheme="minorHAnsi"/>
          <w:i/>
          <w:noProof/>
        </w:rPr>
        <w:t>et al.</w:t>
      </w:r>
      <w:r w:rsidRPr="00C75FE6">
        <w:rPr>
          <w:rFonts w:asciiTheme="minorHAnsi" w:hAnsiTheme="minorHAnsi" w:cstheme="minorHAnsi"/>
          <w:noProof/>
        </w:rPr>
        <w:t>, 2016)</w:t>
      </w:r>
      <w:r>
        <w:rPr>
          <w:rFonts w:asciiTheme="minorHAnsi" w:hAnsiTheme="minorHAnsi" w:cstheme="minorHAnsi"/>
        </w:rPr>
        <w:fldChar w:fldCharType="end"/>
      </w:r>
      <w:r w:rsidRPr="00C75FE6">
        <w:rPr>
          <w:rFonts w:asciiTheme="minorHAnsi" w:hAnsiTheme="minorHAnsi" w:cstheme="minorHAnsi"/>
        </w:rPr>
        <w:t xml:space="preserve"> </w:t>
      </w:r>
    </w:p>
    <w:p w14:paraId="1A646456" w14:textId="77777777" w:rsidR="003965C5" w:rsidRPr="00C75FE6" w:rsidRDefault="003965C5" w:rsidP="003965C5">
      <w:pPr>
        <w:pStyle w:val="NormalWeb"/>
        <w:rPr>
          <w:rFonts w:asciiTheme="minorHAnsi" w:hAnsiTheme="minorHAnsi" w:cstheme="minorHAnsi"/>
        </w:rPr>
      </w:pPr>
      <w:r w:rsidRPr="00C75FE6">
        <w:rPr>
          <w:rFonts w:asciiTheme="minorHAnsi" w:hAnsiTheme="minorHAnsi" w:cstheme="minorHAnsi"/>
        </w:rPr>
        <w:t>data is normalized to 1x coverage</w:t>
      </w:r>
      <w:r w:rsidRPr="00C75FE6">
        <w:rPr>
          <w:rFonts w:asciiTheme="minorHAnsi" w:hAnsiTheme="minorHAnsi" w:cstheme="minorHAnsi"/>
        </w:rPr>
        <w:br/>
      </w:r>
      <w:proofErr w:type="spellStart"/>
      <w:r w:rsidRPr="00C75FE6">
        <w:rPr>
          <w:rFonts w:asciiTheme="minorHAnsi" w:hAnsiTheme="minorHAnsi" w:cstheme="minorHAnsi"/>
          <w:b/>
          <w:bCs/>
        </w:rPr>
        <w:t>bamCoverage</w:t>
      </w:r>
      <w:proofErr w:type="spellEnd"/>
      <w:r w:rsidRPr="00C75FE6">
        <w:rPr>
          <w:rFonts w:asciiTheme="minorHAnsi" w:hAnsiTheme="minorHAnsi" w:cstheme="minorHAnsi"/>
          <w:b/>
          <w:bCs/>
        </w:rPr>
        <w:t xml:space="preserve"> </w:t>
      </w:r>
      <w:r w:rsidRPr="00C75FE6">
        <w:rPr>
          <w:rFonts w:asciiTheme="minorHAnsi" w:hAnsiTheme="minorHAnsi" w:cstheme="minorHAnsi"/>
        </w:rPr>
        <w:t xml:space="preserve">--bam </w:t>
      </w:r>
      <w:proofErr w:type="spellStart"/>
      <w:r w:rsidRPr="00C75FE6">
        <w:rPr>
          <w:rFonts w:asciiTheme="minorHAnsi" w:hAnsiTheme="minorHAnsi" w:cstheme="minorHAnsi"/>
        </w:rPr>
        <w:t>input_sorted.bam</w:t>
      </w:r>
      <w:proofErr w:type="spellEnd"/>
      <w:r w:rsidRPr="00C75FE6">
        <w:rPr>
          <w:rFonts w:asciiTheme="minorHAnsi" w:hAnsiTheme="minorHAnsi" w:cstheme="minorHAnsi"/>
        </w:rPr>
        <w:t xml:space="preserve"> -o output.bw --</w:t>
      </w:r>
      <w:proofErr w:type="spellStart"/>
      <w:r w:rsidRPr="00C75FE6">
        <w:rPr>
          <w:rFonts w:asciiTheme="minorHAnsi" w:hAnsiTheme="minorHAnsi" w:cstheme="minorHAnsi"/>
        </w:rPr>
        <w:t>binSize</w:t>
      </w:r>
      <w:proofErr w:type="spellEnd"/>
      <w:r w:rsidRPr="00C75FE6">
        <w:rPr>
          <w:rFonts w:asciiTheme="minorHAnsi" w:hAnsiTheme="minorHAnsi" w:cstheme="minorHAnsi"/>
        </w:rPr>
        <w:t xml:space="preserve"> 10 --normalizeTo1x 39686251 </w:t>
      </w:r>
    </w:p>
    <w:p w14:paraId="1869EC5F" w14:textId="77777777" w:rsidR="003965C5" w:rsidRPr="00AD0F08" w:rsidRDefault="003965C5" w:rsidP="003965C5">
      <w:pPr>
        <w:rPr>
          <w:rFonts w:asciiTheme="minorHAnsi" w:hAnsiTheme="minorHAnsi" w:cs="Arial"/>
        </w:rPr>
      </w:pPr>
    </w:p>
    <w:p w14:paraId="329DBAAD" w14:textId="77777777" w:rsidR="003965C5" w:rsidRPr="00AD0F08" w:rsidRDefault="003965C5" w:rsidP="003965C5">
      <w:pPr>
        <w:rPr>
          <w:rFonts w:asciiTheme="minorHAnsi" w:hAnsiTheme="minorHAnsi" w:cs="Arial"/>
          <w:b/>
          <w:bCs/>
        </w:rPr>
      </w:pPr>
    </w:p>
    <w:p w14:paraId="2C467217" w14:textId="4242EE8D" w:rsidR="003965C5" w:rsidRPr="00AD0F08" w:rsidRDefault="003965C5" w:rsidP="003965C5">
      <w:pPr>
        <w:rPr>
          <w:rFonts w:asciiTheme="minorHAnsi" w:hAnsiTheme="minorHAnsi" w:cs="Arial"/>
          <w:b/>
          <w:bCs/>
        </w:rPr>
      </w:pPr>
      <w:r w:rsidRPr="00AD0F08">
        <w:rPr>
          <w:rFonts w:asciiTheme="minorHAnsi" w:hAnsiTheme="minorHAnsi" w:cs="Arial"/>
          <w:b/>
          <w:bCs/>
        </w:rPr>
        <w:lastRenderedPageBreak/>
        <w:t>SNP calling</w:t>
      </w:r>
    </w:p>
    <w:p w14:paraId="2593A749" w14:textId="77777777" w:rsidR="003965C5" w:rsidRPr="00AD0F08" w:rsidRDefault="003965C5" w:rsidP="003965C5">
      <w:pPr>
        <w:rPr>
          <w:rFonts w:asciiTheme="minorHAnsi" w:hAnsiTheme="minorHAnsi" w:cs="Arial"/>
          <w:b/>
          <w:bCs/>
        </w:rPr>
      </w:pPr>
    </w:p>
    <w:p w14:paraId="2C856793" w14:textId="77777777" w:rsidR="003965C5" w:rsidRPr="00AD0F08" w:rsidRDefault="003965C5" w:rsidP="003965C5">
      <w:pPr>
        <w:rPr>
          <w:rFonts w:asciiTheme="minorHAnsi" w:hAnsiTheme="minorHAnsi" w:cs="Arial"/>
        </w:rPr>
      </w:pPr>
      <w:r w:rsidRPr="00AD0F08">
        <w:rPr>
          <w:rFonts w:asciiTheme="minorHAnsi" w:hAnsiTheme="minorHAnsi" w:cs="Arial"/>
          <w:b/>
          <w:bCs/>
        </w:rPr>
        <w:t xml:space="preserve">samtools + bcftools version 1.3.1 </w:t>
      </w:r>
      <w:r w:rsidRPr="00AD0F08">
        <w:rPr>
          <w:rFonts w:asciiTheme="minorHAnsi" w:hAnsiTheme="minorHAnsi" w:cs="Arial"/>
          <w:b/>
          <w:bCs/>
        </w:rPr>
        <w:fldChar w:fldCharType="begin" w:fldLock="1"/>
      </w:r>
      <w:r>
        <w:rPr>
          <w:rFonts w:asciiTheme="minorHAnsi" w:hAnsiTheme="minorHAnsi" w:cs="Arial"/>
          <w:b/>
          <w:bCs/>
        </w:rPr>
        <w:instrText>ADDIN CSL_CITATION {"citationItems":[{"id":"ITEM-1","itemData":{"DOI":"10.1093/bioinformatics/btr509","ISBN":"1367-4811 (Electronic)\\r1367-4803 (Linking)","ISSN":"13674803","PMID":"21903627","abstract":"MOTIVATION: Most existing methods for DNA sequence analysis rely on accurate sequences or genotypes. However, in applications of the next-generation sequencing (NGS), accurate genotypes may not be easily obtained (e.g. multi-sample low-coverage sequencing or somatic mutation discovery). These applications press for the development of new methods for analyzing sequence data with uncertainty.\\n\\nRESULTS: We present a statistical framework for calling SNPs, discovering somatic mutations, inferring population genetical parameters and performing association tests directly based on sequencing data without explicit genotyping or linkage-based imputation. On real data, we demonstrate that our method achieves comparable accuracy to alternative methods for estimating site allele count, for inferring allele frequency spectrum and for association mapping. We also highlight the necessity of using symmetric datasets for finding somatic mutations and confirm that for discovering rare events, mismapping is frequently the leading source of errors.\\n\\nAVAILABILITY: http://samtools.sourceforge.net.\\n\\nCONTACT: hengli@broadinstitute.org.","author":[{"dropping-particle":"","family":"Li","given":"Heng","non-dropping-particle":"","parse-names":false,"suffix":""}],"container-title":"Bioinformatics","id":"ITEM-1","issue":"21","issued":{"date-parts":[["2011"]]},"page":"2987-2993","title":"A statistical framework for SNP calling, mutation discovery, association mapping and population genetical parameter estimation from sequencing data","type":"article-journal","volume":"27"},"uris":["http://www.mendeley.com/documents/?uuid=6951a46a-0064-408d-8040-66567c917368"]}],"mendeley":{"formattedCitation":"(Li, 2011)","plainTextFormattedCitation":"(Li, 2011)","previouslyFormattedCitation":"(Li, 2011)"},"properties":{"noteIndex":0},"schema":"https://github.com/citation-style-language/schema/raw/master/csl-citation.json"}</w:instrText>
      </w:r>
      <w:r w:rsidRPr="00AD0F08">
        <w:rPr>
          <w:rFonts w:asciiTheme="minorHAnsi" w:hAnsiTheme="minorHAnsi" w:cs="Arial"/>
          <w:b/>
          <w:bCs/>
        </w:rPr>
        <w:fldChar w:fldCharType="separate"/>
      </w:r>
      <w:r w:rsidRPr="00C75FE6">
        <w:rPr>
          <w:rFonts w:asciiTheme="minorHAnsi" w:hAnsiTheme="minorHAnsi" w:cs="Arial"/>
          <w:bCs/>
          <w:noProof/>
        </w:rPr>
        <w:t>(Li, 2011)</w:t>
      </w:r>
      <w:r w:rsidRPr="00AD0F08">
        <w:rPr>
          <w:rFonts w:asciiTheme="minorHAnsi" w:hAnsiTheme="minorHAnsi" w:cs="Arial"/>
          <w:b/>
          <w:bCs/>
        </w:rPr>
        <w:fldChar w:fldCharType="end"/>
      </w:r>
    </w:p>
    <w:p w14:paraId="14E333E5" w14:textId="77777777" w:rsidR="003965C5" w:rsidRPr="00AD0F08" w:rsidRDefault="003965C5" w:rsidP="003965C5">
      <w:pPr>
        <w:rPr>
          <w:rFonts w:asciiTheme="minorHAnsi" w:hAnsiTheme="minorHAnsi" w:cs="Arial"/>
        </w:rPr>
      </w:pPr>
    </w:p>
    <w:p w14:paraId="6B4A8239" w14:textId="77777777" w:rsidR="003965C5" w:rsidRPr="00AD0F08" w:rsidRDefault="003965C5" w:rsidP="003965C5">
      <w:pPr>
        <w:rPr>
          <w:rFonts w:asciiTheme="minorHAnsi" w:hAnsiTheme="minorHAnsi" w:cs="Arial"/>
        </w:rPr>
      </w:pPr>
      <w:r w:rsidRPr="00AD0F08">
        <w:rPr>
          <w:rFonts w:asciiTheme="minorHAnsi" w:hAnsiTheme="minorHAnsi" w:cs="Arial"/>
        </w:rPr>
        <w:t xml:space="preserve">samtools </w:t>
      </w:r>
      <w:proofErr w:type="spellStart"/>
      <w:r w:rsidRPr="00AD0F08">
        <w:rPr>
          <w:rFonts w:asciiTheme="minorHAnsi" w:hAnsiTheme="minorHAnsi" w:cs="Arial"/>
        </w:rPr>
        <w:t>mpileup</w:t>
      </w:r>
      <w:proofErr w:type="spellEnd"/>
      <w:r w:rsidRPr="00AD0F08">
        <w:rPr>
          <w:rFonts w:asciiTheme="minorHAnsi" w:hAnsiTheme="minorHAnsi" w:cs="Arial"/>
        </w:rPr>
        <w:t xml:space="preserve"> -E -C50 -Q20 -q20 -</w:t>
      </w:r>
      <w:proofErr w:type="spellStart"/>
      <w:r w:rsidRPr="00AD0F08">
        <w:rPr>
          <w:rFonts w:asciiTheme="minorHAnsi" w:hAnsiTheme="minorHAnsi" w:cs="Arial"/>
        </w:rPr>
        <w:t>uf</w:t>
      </w:r>
      <w:proofErr w:type="spellEnd"/>
      <w:r w:rsidRPr="00AD0F08">
        <w:rPr>
          <w:rFonts w:asciiTheme="minorHAnsi" w:hAnsiTheme="minorHAnsi" w:cs="Arial"/>
        </w:rPr>
        <w:t xml:space="preserve"> </w:t>
      </w:r>
      <w:proofErr w:type="spellStart"/>
      <w:proofErr w:type="gramStart"/>
      <w:r w:rsidRPr="00AD0F08">
        <w:rPr>
          <w:rFonts w:asciiTheme="minorHAnsi" w:hAnsiTheme="minorHAnsi" w:cs="Arial"/>
        </w:rPr>
        <w:t>reference.fasta</w:t>
      </w:r>
      <w:proofErr w:type="spellEnd"/>
      <w:proofErr w:type="gramEnd"/>
      <w:r w:rsidRPr="00AD0F08">
        <w:rPr>
          <w:rFonts w:asciiTheme="minorHAnsi" w:hAnsiTheme="minorHAnsi" w:cs="Arial"/>
        </w:rPr>
        <w:t xml:space="preserve"> sample_1_sorted.bam | bcftools call --ploidy 1 -</w:t>
      </w:r>
      <w:proofErr w:type="spellStart"/>
      <w:r w:rsidRPr="00AD0F08">
        <w:rPr>
          <w:rFonts w:asciiTheme="minorHAnsi" w:hAnsiTheme="minorHAnsi" w:cs="Arial"/>
        </w:rPr>
        <w:t>vc</w:t>
      </w:r>
      <w:proofErr w:type="spellEnd"/>
      <w:r w:rsidRPr="00AD0F08">
        <w:rPr>
          <w:rFonts w:asciiTheme="minorHAnsi" w:hAnsiTheme="minorHAnsi" w:cs="Arial"/>
        </w:rPr>
        <w:t xml:space="preserve"> -O u -o sample_1.bcf</w:t>
      </w:r>
    </w:p>
    <w:p w14:paraId="2472C117" w14:textId="77777777" w:rsidR="003965C5" w:rsidRPr="00AD0F08" w:rsidRDefault="003965C5" w:rsidP="003965C5">
      <w:pPr>
        <w:rPr>
          <w:rFonts w:asciiTheme="minorHAnsi" w:hAnsiTheme="minorHAnsi" w:cs="Arial"/>
        </w:rPr>
      </w:pPr>
    </w:p>
    <w:p w14:paraId="616656E9" w14:textId="77777777" w:rsidR="003965C5" w:rsidRPr="00AD0F08" w:rsidRDefault="003965C5" w:rsidP="003965C5">
      <w:pPr>
        <w:rPr>
          <w:rFonts w:asciiTheme="minorHAnsi" w:hAnsiTheme="minorHAnsi" w:cs="Arial"/>
        </w:rPr>
      </w:pPr>
      <w:r w:rsidRPr="00AD0F08">
        <w:rPr>
          <w:rFonts w:asciiTheme="minorHAnsi" w:hAnsiTheme="minorHAnsi" w:cs="Arial"/>
        </w:rPr>
        <w:t>bcftools view sample_1.bcf &gt; sample_1.vcf</w:t>
      </w:r>
    </w:p>
    <w:p w14:paraId="2E211465" w14:textId="77777777" w:rsidR="003965C5" w:rsidRPr="00AD0F08" w:rsidRDefault="003965C5" w:rsidP="003965C5">
      <w:pPr>
        <w:rPr>
          <w:rFonts w:asciiTheme="minorHAnsi" w:hAnsiTheme="minorHAnsi" w:cs="Arial"/>
        </w:rPr>
      </w:pPr>
    </w:p>
    <w:p w14:paraId="461821CF" w14:textId="77777777" w:rsidR="003965C5" w:rsidRPr="00AD0F08" w:rsidRDefault="003965C5" w:rsidP="003965C5">
      <w:pPr>
        <w:rPr>
          <w:rFonts w:asciiTheme="minorHAnsi" w:hAnsiTheme="minorHAnsi" w:cs="Arial"/>
        </w:rPr>
      </w:pPr>
      <w:r w:rsidRPr="00AD0F08">
        <w:rPr>
          <w:rFonts w:asciiTheme="minorHAnsi" w:hAnsiTheme="minorHAnsi" w:cs="Arial"/>
        </w:rPr>
        <w:t>bcftools filter -o sample_1_filtered.vcf -</w:t>
      </w:r>
      <w:proofErr w:type="spellStart"/>
      <w:r w:rsidRPr="00AD0F08">
        <w:rPr>
          <w:rFonts w:asciiTheme="minorHAnsi" w:hAnsiTheme="minorHAnsi" w:cs="Arial"/>
        </w:rPr>
        <w:t>e'QUAL</w:t>
      </w:r>
      <w:proofErr w:type="spellEnd"/>
      <w:r w:rsidRPr="00AD0F08">
        <w:rPr>
          <w:rFonts w:asciiTheme="minorHAnsi" w:hAnsiTheme="minorHAnsi" w:cs="Arial"/>
        </w:rPr>
        <w:t>&lt;20 | DP&lt;10 | AF1&lt;0.8' sample_1.vcf</w:t>
      </w:r>
    </w:p>
    <w:p w14:paraId="26D5E81B" w14:textId="77777777" w:rsidR="003965C5" w:rsidRPr="00AD0F08" w:rsidRDefault="003965C5" w:rsidP="003965C5">
      <w:pPr>
        <w:rPr>
          <w:rFonts w:asciiTheme="minorHAnsi" w:hAnsiTheme="minorHAnsi" w:cs="Arial"/>
        </w:rPr>
      </w:pPr>
    </w:p>
    <w:p w14:paraId="7736087B" w14:textId="77777777" w:rsidR="003965C5" w:rsidRPr="00AD0F08" w:rsidRDefault="003965C5" w:rsidP="003965C5">
      <w:pPr>
        <w:widowControl/>
        <w:suppressAutoHyphens w:val="0"/>
        <w:rPr>
          <w:rFonts w:asciiTheme="minorHAnsi" w:hAnsiTheme="minorHAnsi" w:cs="Arial"/>
        </w:rPr>
      </w:pPr>
    </w:p>
    <w:p w14:paraId="6EF04B1F" w14:textId="77777777" w:rsidR="003965C5" w:rsidRPr="00AD0F08" w:rsidRDefault="003965C5" w:rsidP="003965C5">
      <w:pPr>
        <w:widowControl/>
        <w:suppressAutoHyphens w:val="0"/>
        <w:rPr>
          <w:rFonts w:asciiTheme="minorHAnsi" w:hAnsiTheme="minorHAnsi" w:cs="Arial"/>
          <w:b/>
          <w:bCs/>
        </w:rPr>
      </w:pPr>
      <w:r w:rsidRPr="00AD0F08">
        <w:rPr>
          <w:rFonts w:asciiTheme="minorHAnsi" w:hAnsiTheme="minorHAnsi" w:cs="Arial"/>
          <w:b/>
          <w:bCs/>
        </w:rPr>
        <w:t xml:space="preserve">Assembly of long-read SMRT sequencing </w:t>
      </w:r>
      <w:r w:rsidRPr="00AD0F08">
        <w:rPr>
          <w:rFonts w:asciiTheme="minorHAnsi" w:hAnsiTheme="minorHAnsi" w:cs="Arial"/>
          <w:b/>
          <w:bCs/>
          <w:i/>
        </w:rPr>
        <w:t>Zymoseptoria ardabiliae</w:t>
      </w:r>
      <w:r w:rsidRPr="00AD0F08">
        <w:rPr>
          <w:rFonts w:asciiTheme="minorHAnsi" w:hAnsiTheme="minorHAnsi" w:cs="Arial"/>
          <w:b/>
          <w:bCs/>
        </w:rPr>
        <w:t xml:space="preserve"> reference strain Za17</w:t>
      </w:r>
    </w:p>
    <w:p w14:paraId="137EC898" w14:textId="77777777" w:rsidR="003965C5" w:rsidRPr="00AD0F08" w:rsidRDefault="003965C5" w:rsidP="003965C5">
      <w:pPr>
        <w:rPr>
          <w:rFonts w:asciiTheme="minorHAnsi" w:hAnsiTheme="minorHAnsi" w:cs="Arial"/>
        </w:rPr>
      </w:pPr>
    </w:p>
    <w:p w14:paraId="01E22B17" w14:textId="77777777" w:rsidR="003965C5" w:rsidRPr="00AD0F08" w:rsidRDefault="003965C5" w:rsidP="003965C5">
      <w:pPr>
        <w:rPr>
          <w:rFonts w:asciiTheme="minorHAnsi" w:hAnsiTheme="minorHAnsi" w:cs="Arial"/>
        </w:rPr>
      </w:pPr>
      <w:r w:rsidRPr="00AD0F08">
        <w:rPr>
          <w:rFonts w:asciiTheme="minorHAnsi" w:hAnsiTheme="minorHAnsi" w:cs="Arial"/>
        </w:rPr>
        <w:t xml:space="preserve">High molecular weight DNA of the </w:t>
      </w:r>
      <w:r w:rsidRPr="00AD0F08">
        <w:rPr>
          <w:rFonts w:asciiTheme="minorHAnsi" w:hAnsiTheme="minorHAnsi" w:cs="Arial"/>
          <w:i/>
        </w:rPr>
        <w:t>Z. ardabiliae</w:t>
      </w:r>
      <w:r w:rsidRPr="00AD0F08">
        <w:rPr>
          <w:rFonts w:asciiTheme="minorHAnsi" w:hAnsiTheme="minorHAnsi" w:cs="Arial"/>
        </w:rPr>
        <w:t xml:space="preserve"> strain Za17 was isolated as described in </w:t>
      </w:r>
      <w:r w:rsidRPr="00AD0F08">
        <w:rPr>
          <w:rFonts w:asciiTheme="minorHAnsi" w:hAnsiTheme="minorHAnsi" w:cs="Arial"/>
        </w:rPr>
        <w:fldChar w:fldCharType="begin" w:fldLock="1"/>
      </w:r>
      <w:r>
        <w:rPr>
          <w:rFonts w:asciiTheme="minorHAnsi" w:hAnsiTheme="minorHAnsi" w:cs="Arial"/>
        </w:rPr>
        <w:instrText>ADDIN CSL_CITATION {"citationItems":[{"id":"ITEM-1","itemData":{"DOI":"10.1038/nprot.2006.384","ISBN":"1750-2799","ISSN":"1754-2189","PMID":"17406474","abstract":"We describe a modification of the DNA extraction method, in which cetyltrimethylammonium bromide (CTAB) is used to extract nucleic acids from plant tissues. In contrast to the original method, the modified CTAB procedure is faster, omits the selective precipitation and CsCl gradient steps, uses less expensive and toxic reagents, requires only inexpensive laboratory equipment and is more readily adapted to high-throughput DNA extraction. This protocol yields approximately 5-30 microg of total DNA from 200 mg of tissue fresh weight, depending on plant species and tissue source. It can be completed in as little as 5-6 h.","author":[{"dropping-particle":"","family":"Allen","given":"G C","non-dropping-particle":"","parse-names":false,"suffix":""},{"dropping-particle":"","family":"Flores-Vergara","given":"M a","non-dropping-particle":"","parse-names":false,"suffix":""},{"dropping-particle":"","family":"Krasynanski","given":"S","non-dropping-particle":"","parse-names":false,"suffix":""},{"dropping-particle":"","family":"Kumar","given":"S","non-dropping-particle":"","parse-names":false,"suffix":""},{"dropping-particle":"","family":"Thompson","given":"W F","non-dropping-particle":"","parse-names":false,"suffix":""}],"container-title":"Nature protocols","id":"ITEM-1","issue":"5","issued":{"date-parts":[["2006"]]},"page":"2320-2325","title":"A modified protocol for rapid DNA isolation from plant tissues using cetyltrimethylammonium bromide.","type":"article-journal","volume":"1"},"uris":["http://www.mendeley.com/documents/?uuid=6816e247-39a2-439b-ab91-f9078e3779de"]}],"mendeley":{"formattedCitation":"(Allen &lt;i&gt;et al.&lt;/i&gt;, 2006)","plainTextFormattedCitation":"(Allen et al., 2006)","previouslyFormattedCitation":"(Allen &lt;i&gt;et al.&lt;/i&gt;, 2006)"},"properties":{"noteIndex":0},"schema":"https://github.com/citation-style-language/schema/raw/master/csl-citation.json"}</w:instrText>
      </w:r>
      <w:r w:rsidRPr="00AD0F08">
        <w:rPr>
          <w:rFonts w:asciiTheme="minorHAnsi" w:hAnsiTheme="minorHAnsi" w:cs="Arial"/>
        </w:rPr>
        <w:fldChar w:fldCharType="separate"/>
      </w:r>
      <w:r w:rsidRPr="00C75FE6">
        <w:rPr>
          <w:rFonts w:asciiTheme="minorHAnsi" w:hAnsiTheme="minorHAnsi" w:cs="Arial"/>
          <w:noProof/>
        </w:rPr>
        <w:t xml:space="preserve">(Allen </w:t>
      </w:r>
      <w:r w:rsidRPr="00C75FE6">
        <w:rPr>
          <w:rFonts w:asciiTheme="minorHAnsi" w:hAnsiTheme="minorHAnsi" w:cs="Arial"/>
          <w:i/>
          <w:noProof/>
        </w:rPr>
        <w:t>et al.</w:t>
      </w:r>
      <w:r w:rsidRPr="00C75FE6">
        <w:rPr>
          <w:rFonts w:asciiTheme="minorHAnsi" w:hAnsiTheme="minorHAnsi" w:cs="Arial"/>
          <w:noProof/>
        </w:rPr>
        <w:t>, 2006)</w:t>
      </w:r>
      <w:r w:rsidRPr="00AD0F08">
        <w:rPr>
          <w:rFonts w:asciiTheme="minorHAnsi" w:hAnsiTheme="minorHAnsi" w:cs="Arial"/>
        </w:rPr>
        <w:fldChar w:fldCharType="end"/>
      </w:r>
      <w:r w:rsidRPr="00AD0F08">
        <w:rPr>
          <w:rFonts w:asciiTheme="minorHAnsi" w:hAnsiTheme="minorHAnsi" w:cs="Arial"/>
        </w:rPr>
        <w:t xml:space="preserve">. Single molecule real time sequencing (SMRT) was performed on a PacBio RS II using 5 SMRT cells at the Functional Genomics Center Zürich, Switzerland. </w:t>
      </w:r>
    </w:p>
    <w:p w14:paraId="5C9BC9DA" w14:textId="77777777" w:rsidR="003965C5" w:rsidRPr="00AD0F08" w:rsidRDefault="003965C5" w:rsidP="003965C5">
      <w:pPr>
        <w:rPr>
          <w:rFonts w:asciiTheme="minorHAnsi" w:hAnsiTheme="minorHAnsi" w:cs="Arial"/>
        </w:rPr>
      </w:pPr>
      <w:r w:rsidRPr="00AD0F08">
        <w:rPr>
          <w:rFonts w:asciiTheme="minorHAnsi" w:hAnsiTheme="minorHAnsi" w:cs="Arial"/>
        </w:rPr>
        <w:t xml:space="preserve">The genome was assembled as previously described in </w:t>
      </w:r>
      <w:r w:rsidRPr="00AD0F08">
        <w:rPr>
          <w:rFonts w:asciiTheme="minorHAnsi" w:hAnsiTheme="minorHAnsi" w:cs="Arial"/>
        </w:rPr>
        <w:fldChar w:fldCharType="begin" w:fldLock="1"/>
      </w:r>
      <w:r>
        <w:rPr>
          <w:rFonts w:asciiTheme="minorHAnsi" w:hAnsiTheme="minorHAnsi" w:cs="Arial"/>
        </w:rPr>
        <w:instrText>ADDIN CSL_CITATION {"citationItems":[{"id":"ITEM-1","itemData":{"DOI":"10.1128/mBio.01231-16.Editor","ISSN":"2150-7511","PMID":"27795389","author":[{"dropping-particle":"","family":"Plissonneau","given":"Clémence","non-dropping-particle":"","parse-names":false,"suffix":""},{"dropping-particle":"","family":"Stürchler","given":"Alessandra","non-dropping-particle":"","parse-names":false,"suffix":""}],"container-title":"M Bio","id":"ITEM-1","issue":"5","issued":{"date-parts":[["2016"]]},"page":"e01231-16","publisher":" ","title":"The Evolution of Orphan Regions in Genomes of a Fungal Pathogen of Wheat","type":"article-journal","volume":"7"},"uris":["http://www.mendeley.com/documents/?uuid=b3673e59-45ba-416d-8650-ad3b87eb0006"]}],"mendeley":{"formattedCitation":"(Plissonneau &amp; Stürchler, 2016)","plainTextFormattedCitation":"(Plissonneau &amp; Stürchler, 2016)","previouslyFormattedCitation":"(Plissonneau &amp; Stürchler, 2016)"},"properties":{"noteIndex":0},"schema":"https://github.com/citation-style-language/schema/raw/master/csl-citation.json"}</w:instrText>
      </w:r>
      <w:r w:rsidRPr="00AD0F08">
        <w:rPr>
          <w:rFonts w:asciiTheme="minorHAnsi" w:hAnsiTheme="minorHAnsi" w:cs="Arial"/>
        </w:rPr>
        <w:fldChar w:fldCharType="separate"/>
      </w:r>
      <w:r w:rsidRPr="00C75FE6">
        <w:rPr>
          <w:rFonts w:asciiTheme="minorHAnsi" w:hAnsiTheme="minorHAnsi" w:cs="Arial"/>
          <w:noProof/>
        </w:rPr>
        <w:t>(Plissonneau &amp; Stürchler, 2016)</w:t>
      </w:r>
      <w:r w:rsidRPr="00AD0F08">
        <w:rPr>
          <w:rFonts w:asciiTheme="minorHAnsi" w:hAnsiTheme="minorHAnsi" w:cs="Arial"/>
        </w:rPr>
        <w:fldChar w:fldCharType="end"/>
      </w:r>
      <w:r w:rsidRPr="00AD0F08">
        <w:rPr>
          <w:rFonts w:asciiTheme="minorHAnsi" w:hAnsiTheme="minorHAnsi" w:cs="Arial"/>
        </w:rPr>
        <w:t xml:space="preserve"> using the assembler </w:t>
      </w:r>
      <w:proofErr w:type="spellStart"/>
      <w:r w:rsidRPr="00AD0F08">
        <w:rPr>
          <w:rFonts w:asciiTheme="minorHAnsi" w:hAnsiTheme="minorHAnsi" w:cs="Arial"/>
        </w:rPr>
        <w:t>SMRTanalysis</w:t>
      </w:r>
      <w:proofErr w:type="spellEnd"/>
      <w:r w:rsidRPr="00AD0F08">
        <w:rPr>
          <w:rFonts w:asciiTheme="minorHAnsi" w:hAnsiTheme="minorHAnsi" w:cs="Arial"/>
        </w:rPr>
        <w:t xml:space="preserve"> v 2.3.0 implemented in the Hierarchical Genome Assembly Process version 3 (HGAP3) </w:t>
      </w:r>
      <w:r w:rsidRPr="00AD0F08">
        <w:rPr>
          <w:rFonts w:asciiTheme="minorHAnsi" w:hAnsiTheme="minorHAnsi" w:cs="Arial"/>
        </w:rPr>
        <w:fldChar w:fldCharType="begin" w:fldLock="1"/>
      </w:r>
      <w:r>
        <w:rPr>
          <w:rFonts w:asciiTheme="minorHAnsi" w:hAnsiTheme="minorHAnsi" w:cs="Arial"/>
        </w:rPr>
        <w:instrText>ADDIN CSL_CITATION {"citationItems":[{"id":"ITEM-1","itemData":{"DOI":"10.1038/nmeth.2474","ISBN":"1548-7091","ISSN":"1548-7091","PMID":"23644548","abstract":"We present a hierarchical genome-assembly process (HGAP) for high-quality de novo microbial genome assemblies using only a single, long-insert shotgun DNA library in conjunction with Single Molecule, Real-Time (SMRT) DNA sequencing. Our method uses the longest reads as seeds to recruit all other reads for construction of highly accurate preassembled reads through a directed acyclic graph–based consensus procedure, which we follow with assembly using off-the-shelf long-read assemblers. In contrast to hybrid approaches, HGAP does not require highly accurate raw reads for error correction. We demonstrate efficient genome assembly for several microorganisms using as few as three SMRT Cell zero- mode waveguide arrays of sequencing and for BACs using just one SMRT Cell. Long repeat regions can be successfully resolved with this workflow. We also describe a consensus algorithm that incorporates SMRT sequencing primary quality values to produce de novo genome sequence exceeding 99.999% accuracy.","author":[{"dropping-particle":"","family":"Chin","given":"Chen-Shan","non-dropping-particle":"","parse-names":false,"suffix":""},{"dropping-particle":"","family":"Alexander","given":"David H","non-dropping-particle":"","parse-names":false,"suffix":""},{"dropping-particle":"","family":"Marks","given":"Patrick","non-dropping-particle":"","parse-names":false,"suffix":""},{"dropping-particle":"","family":"Klammer","given":"Aaron A","non-dropping-particle":"","parse-names":false,"suffix":""},{"dropping-particle":"","family":"Drake","given":"James","non-dropping-particle":"","parse-names":false,"suffix":""},{"dropping-particle":"","family":"Heiner","given":"Cheryl","non-dropping-particle":"","parse-names":false,"suffix":""},{"dropping-particle":"","family":"Clum","given":"Alicia","non-dropping-particle":"","parse-names":false,"suffix":""},{"dropping-particle":"","family":"Copeland","given":"Alex","non-dropping-particle":"","parse-names":false,"suffix":""},{"dropping-particle":"","family":"Huddleston","given":"John","non-dropping-particle":"","parse-names":false,"suffix":""},{"dropping-particle":"","family":"Eichler","given":"Evan E","non-dropping-particle":"","parse-names":false,"suffix":""},{"dropping-particle":"","family":"Turner","given":"Stephen W","non-dropping-particle":"","parse-names":false,"suffix":""},{"dropping-particle":"","family":"Korlach","given":"Jonas","non-dropping-particle":"","parse-names":false,"suffix":""}],"container-title":"Nature Methods","id":"ITEM-1","issue":"6","issued":{"date-parts":[["2013"]]},"page":"563-569","title":"Nonhybrid, finished microbial genome assemblies from long-read SMRT sequencing data","type":"article-journal","volume":"10"},"uris":["http://www.mendeley.com/documents/?uuid=8fe9c81d-25fa-407b-ba3c-729fbab98940"]}],"mendeley":{"formattedCitation":"(Chin &lt;i&gt;et al.&lt;/i&gt;, 2013)","plainTextFormattedCitation":"(Chin et al., 2013)","previouslyFormattedCitation":"(Chin &lt;i&gt;et al.&lt;/i&gt;, 2013)"},"properties":{"noteIndex":0},"schema":"https://github.com/citation-style-language/schema/raw/master/csl-citation.json"}</w:instrText>
      </w:r>
      <w:r w:rsidRPr="00AD0F08">
        <w:rPr>
          <w:rFonts w:asciiTheme="minorHAnsi" w:hAnsiTheme="minorHAnsi" w:cs="Arial"/>
        </w:rPr>
        <w:fldChar w:fldCharType="separate"/>
      </w:r>
      <w:r w:rsidRPr="00C75FE6">
        <w:rPr>
          <w:rFonts w:asciiTheme="minorHAnsi" w:hAnsiTheme="minorHAnsi" w:cs="Arial"/>
          <w:noProof/>
        </w:rPr>
        <w:t xml:space="preserve">(Chin </w:t>
      </w:r>
      <w:r w:rsidRPr="00C75FE6">
        <w:rPr>
          <w:rFonts w:asciiTheme="minorHAnsi" w:hAnsiTheme="minorHAnsi" w:cs="Arial"/>
          <w:i/>
          <w:noProof/>
        </w:rPr>
        <w:t>et al.</w:t>
      </w:r>
      <w:r w:rsidRPr="00C75FE6">
        <w:rPr>
          <w:rFonts w:asciiTheme="minorHAnsi" w:hAnsiTheme="minorHAnsi" w:cs="Arial"/>
          <w:noProof/>
        </w:rPr>
        <w:t>, 2013)</w:t>
      </w:r>
      <w:r w:rsidRPr="00AD0F08">
        <w:rPr>
          <w:rFonts w:asciiTheme="minorHAnsi" w:hAnsiTheme="minorHAnsi" w:cs="Arial"/>
        </w:rPr>
        <w:fldChar w:fldCharType="end"/>
      </w:r>
      <w:r w:rsidRPr="00AD0F08">
        <w:rPr>
          <w:rFonts w:asciiTheme="minorHAnsi" w:hAnsiTheme="minorHAnsi" w:cs="Arial"/>
        </w:rPr>
        <w:t xml:space="preserve">. Polishing was performed with Quiver that is part of the </w:t>
      </w:r>
      <w:proofErr w:type="spellStart"/>
      <w:r w:rsidRPr="00AD0F08">
        <w:rPr>
          <w:rFonts w:asciiTheme="minorHAnsi" w:hAnsiTheme="minorHAnsi" w:cs="Arial"/>
        </w:rPr>
        <w:t>SMRTanalysis</w:t>
      </w:r>
      <w:proofErr w:type="spellEnd"/>
      <w:r w:rsidRPr="00AD0F08">
        <w:rPr>
          <w:rFonts w:asciiTheme="minorHAnsi" w:hAnsiTheme="minorHAnsi" w:cs="Arial"/>
        </w:rPr>
        <w:t xml:space="preserve"> suite.</w:t>
      </w:r>
    </w:p>
    <w:p w14:paraId="5F9B8863" w14:textId="77777777" w:rsidR="003965C5" w:rsidRPr="00AD0F08" w:rsidRDefault="003965C5" w:rsidP="003965C5">
      <w:pPr>
        <w:rPr>
          <w:rFonts w:asciiTheme="minorHAnsi" w:hAnsiTheme="minorHAnsi" w:cs="Arial"/>
        </w:rPr>
      </w:pPr>
    </w:p>
    <w:p w14:paraId="6CCC26CA" w14:textId="77777777" w:rsidR="003965C5" w:rsidRPr="00AD0F08" w:rsidRDefault="003965C5" w:rsidP="003965C5">
      <w:pPr>
        <w:rPr>
          <w:rFonts w:asciiTheme="minorHAnsi" w:hAnsiTheme="minorHAnsi" w:cs="Arial"/>
        </w:rPr>
      </w:pPr>
    </w:p>
    <w:p w14:paraId="6EF8F1A4" w14:textId="77777777" w:rsidR="003965C5" w:rsidRPr="00AD0F08" w:rsidRDefault="003965C5" w:rsidP="003965C5">
      <w:pPr>
        <w:rPr>
          <w:rFonts w:asciiTheme="minorHAnsi" w:hAnsiTheme="minorHAnsi" w:cs="Arial"/>
        </w:rPr>
      </w:pPr>
      <w:r w:rsidRPr="00AD0F08">
        <w:rPr>
          <w:rFonts w:asciiTheme="minorHAnsi" w:hAnsiTheme="minorHAnsi" w:cs="Arial"/>
        </w:rPr>
        <w:t>The following commands were used for the assembly:</w:t>
      </w:r>
    </w:p>
    <w:p w14:paraId="5F5B0DE6" w14:textId="77777777" w:rsidR="003965C5" w:rsidRPr="00AD0F08" w:rsidRDefault="003965C5" w:rsidP="003965C5">
      <w:pPr>
        <w:rPr>
          <w:rFonts w:asciiTheme="minorHAnsi" w:hAnsiTheme="minorHAnsi" w:cs="Arial"/>
        </w:rPr>
      </w:pPr>
    </w:p>
    <w:p w14:paraId="43310AFE" w14:textId="77777777" w:rsidR="003965C5" w:rsidRPr="00AD0F08" w:rsidRDefault="003965C5" w:rsidP="003965C5">
      <w:pPr>
        <w:rPr>
          <w:rFonts w:asciiTheme="minorHAnsi" w:hAnsiTheme="minorHAnsi" w:cs="Arial"/>
        </w:rPr>
      </w:pPr>
      <w:r w:rsidRPr="00AD0F08">
        <w:rPr>
          <w:rFonts w:asciiTheme="minorHAnsi" w:hAnsiTheme="minorHAnsi" w:cs="Arial"/>
        </w:rPr>
        <w:t>&gt; source Local_SMRTanalysis/current/etc/setup.sh</w:t>
      </w:r>
    </w:p>
    <w:p w14:paraId="4B7F9554" w14:textId="77777777" w:rsidR="003965C5" w:rsidRPr="00AD0F08" w:rsidRDefault="003965C5" w:rsidP="003965C5">
      <w:pPr>
        <w:rPr>
          <w:rFonts w:asciiTheme="minorHAnsi" w:hAnsiTheme="minorHAnsi" w:cs="Arial"/>
        </w:rPr>
      </w:pPr>
    </w:p>
    <w:p w14:paraId="7890964C" w14:textId="77777777" w:rsidR="003965C5" w:rsidRPr="00AD0F08" w:rsidRDefault="003965C5" w:rsidP="003965C5">
      <w:pPr>
        <w:rPr>
          <w:rFonts w:asciiTheme="minorHAnsi" w:hAnsiTheme="minorHAnsi" w:cs="Arial"/>
        </w:rPr>
      </w:pPr>
      <w:r w:rsidRPr="00AD0F08">
        <w:rPr>
          <w:rFonts w:asciiTheme="minorHAnsi" w:hAnsiTheme="minorHAnsi" w:cs="Arial"/>
        </w:rPr>
        <w:t xml:space="preserve">&gt; fofnTOSmrtpipeInput.py </w:t>
      </w:r>
      <w:proofErr w:type="spellStart"/>
      <w:proofErr w:type="gramStart"/>
      <w:r w:rsidRPr="00AD0F08">
        <w:rPr>
          <w:rFonts w:asciiTheme="minorHAnsi" w:hAnsiTheme="minorHAnsi" w:cs="Arial"/>
        </w:rPr>
        <w:t>HGAP.input.fofn</w:t>
      </w:r>
      <w:proofErr w:type="spellEnd"/>
      <w:proofErr w:type="gramEnd"/>
      <w:r w:rsidRPr="00AD0F08">
        <w:rPr>
          <w:rFonts w:asciiTheme="minorHAnsi" w:hAnsiTheme="minorHAnsi" w:cs="Arial"/>
        </w:rPr>
        <w:t xml:space="preserve"> &gt; HGAP.input.xml</w:t>
      </w:r>
    </w:p>
    <w:p w14:paraId="5DE2D932" w14:textId="77777777" w:rsidR="003965C5" w:rsidRPr="00AD0F08" w:rsidRDefault="003965C5" w:rsidP="003965C5">
      <w:pPr>
        <w:rPr>
          <w:rFonts w:asciiTheme="minorHAnsi" w:hAnsiTheme="minorHAnsi" w:cs="Arial"/>
        </w:rPr>
      </w:pPr>
    </w:p>
    <w:p w14:paraId="62B3291B" w14:textId="77777777" w:rsidR="003965C5" w:rsidRPr="00AD0F08" w:rsidRDefault="003965C5" w:rsidP="003965C5">
      <w:pPr>
        <w:rPr>
          <w:rFonts w:asciiTheme="minorHAnsi" w:hAnsiTheme="minorHAnsi" w:cs="Arial"/>
        </w:rPr>
      </w:pPr>
      <w:r w:rsidRPr="00AD0F08">
        <w:rPr>
          <w:rFonts w:asciiTheme="minorHAnsi" w:hAnsiTheme="minorHAnsi" w:cs="Arial"/>
        </w:rPr>
        <w:t>&gt; smrtpipe.py –D NPROC=2 –D MAX_THREADS=2 –output=</w:t>
      </w:r>
      <w:proofErr w:type="spellStart"/>
      <w:r w:rsidRPr="00AD0F08">
        <w:rPr>
          <w:rFonts w:asciiTheme="minorHAnsi" w:hAnsiTheme="minorHAnsi" w:cs="Arial"/>
        </w:rPr>
        <w:t>Result_SMRT</w:t>
      </w:r>
      <w:proofErr w:type="spellEnd"/>
      <w:r w:rsidRPr="00AD0F08">
        <w:rPr>
          <w:rFonts w:asciiTheme="minorHAnsi" w:hAnsiTheme="minorHAnsi" w:cs="Arial"/>
        </w:rPr>
        <w:t xml:space="preserve"> –params=HGAP.input.xml </w:t>
      </w:r>
      <w:proofErr w:type="spellStart"/>
      <w:proofErr w:type="gramStart"/>
      <w:r w:rsidRPr="00AD0F08">
        <w:rPr>
          <w:rFonts w:asciiTheme="minorHAnsi" w:hAnsiTheme="minorHAnsi" w:cs="Arial"/>
        </w:rPr>
        <w:t>xml:HGAP.input.xml</w:t>
      </w:r>
      <w:proofErr w:type="spellEnd"/>
      <w:proofErr w:type="gramEnd"/>
    </w:p>
    <w:p w14:paraId="0E3CD7C3" w14:textId="77777777" w:rsidR="003965C5" w:rsidRPr="00AD0F08" w:rsidRDefault="003965C5" w:rsidP="003965C5">
      <w:pPr>
        <w:rPr>
          <w:rFonts w:asciiTheme="minorHAnsi" w:hAnsiTheme="minorHAnsi" w:cs="Arial"/>
        </w:rPr>
      </w:pPr>
    </w:p>
    <w:p w14:paraId="4F2E1D58" w14:textId="77777777" w:rsidR="003965C5" w:rsidRPr="00AD0F08" w:rsidRDefault="003965C5" w:rsidP="003965C5">
      <w:pPr>
        <w:rPr>
          <w:rFonts w:asciiTheme="minorHAnsi" w:hAnsiTheme="minorHAnsi" w:cs="Arial"/>
        </w:rPr>
      </w:pPr>
    </w:p>
    <w:tbl>
      <w:tblPr>
        <w:tblW w:w="5440" w:type="dxa"/>
        <w:tblCellMar>
          <w:left w:w="70" w:type="dxa"/>
          <w:right w:w="70" w:type="dxa"/>
        </w:tblCellMar>
        <w:tblLook w:val="04A0" w:firstRow="1" w:lastRow="0" w:firstColumn="1" w:lastColumn="0" w:noHBand="0" w:noVBand="1"/>
      </w:tblPr>
      <w:tblGrid>
        <w:gridCol w:w="3505"/>
        <w:gridCol w:w="1935"/>
      </w:tblGrid>
      <w:tr w:rsidR="003965C5" w:rsidRPr="00AD0F08" w14:paraId="11313551" w14:textId="77777777" w:rsidTr="00640CCF">
        <w:trPr>
          <w:trHeight w:val="320"/>
        </w:trPr>
        <w:tc>
          <w:tcPr>
            <w:tcW w:w="5440" w:type="dxa"/>
            <w:gridSpan w:val="2"/>
            <w:tcBorders>
              <w:top w:val="nil"/>
              <w:left w:val="nil"/>
              <w:bottom w:val="nil"/>
              <w:right w:val="nil"/>
            </w:tcBorders>
            <w:shd w:val="clear" w:color="auto" w:fill="auto"/>
            <w:noWrap/>
            <w:vAlign w:val="bottom"/>
            <w:hideMark/>
          </w:tcPr>
          <w:p w14:paraId="37289A14" w14:textId="77777777" w:rsidR="003965C5" w:rsidRPr="00AD0F08" w:rsidRDefault="003965C5" w:rsidP="00640CCF">
            <w:pPr>
              <w:widowControl/>
              <w:suppressAutoHyphens w:val="0"/>
              <w:rPr>
                <w:rFonts w:asciiTheme="minorHAnsi" w:eastAsia="Times New Roman" w:hAnsiTheme="minorHAnsi" w:cs="Times New Roman"/>
                <w:b/>
                <w:iCs/>
                <w:color w:val="000000"/>
                <w:lang w:eastAsia="de-DE" w:bidi="ar-SA"/>
              </w:rPr>
            </w:pPr>
            <w:r w:rsidRPr="00AD0F08">
              <w:rPr>
                <w:rFonts w:asciiTheme="minorHAnsi" w:eastAsia="Times New Roman" w:hAnsiTheme="minorHAnsi" w:cs="Times New Roman"/>
                <w:b/>
                <w:iCs/>
                <w:color w:val="000000"/>
                <w:lang w:eastAsia="de-DE" w:bidi="ar-SA"/>
              </w:rPr>
              <w:t>Assembly statistics</w:t>
            </w:r>
          </w:p>
          <w:p w14:paraId="2BABB454" w14:textId="77777777" w:rsidR="003965C5" w:rsidRPr="00AD0F08" w:rsidRDefault="003965C5" w:rsidP="00640CCF">
            <w:pPr>
              <w:widowControl/>
              <w:suppressAutoHyphens w:val="0"/>
              <w:rPr>
                <w:rFonts w:asciiTheme="minorHAnsi" w:eastAsia="Times New Roman" w:hAnsiTheme="minorHAnsi" w:cs="Times New Roman"/>
                <w:i/>
                <w:iCs/>
                <w:color w:val="000000"/>
                <w:lang w:eastAsia="de-DE" w:bidi="ar-SA"/>
              </w:rPr>
            </w:pPr>
          </w:p>
          <w:p w14:paraId="7531C3CB" w14:textId="77777777" w:rsidR="003965C5" w:rsidRPr="00AD0F08" w:rsidRDefault="003965C5" w:rsidP="00640CCF">
            <w:pPr>
              <w:widowControl/>
              <w:suppressAutoHyphens w:val="0"/>
              <w:rPr>
                <w:rFonts w:asciiTheme="minorHAnsi" w:eastAsia="Times New Roman" w:hAnsiTheme="minorHAnsi" w:cs="Times New Roman"/>
                <w:color w:val="000000"/>
                <w:lang w:eastAsia="de-DE" w:bidi="ar-SA"/>
              </w:rPr>
            </w:pPr>
            <w:r w:rsidRPr="00AD0F08">
              <w:rPr>
                <w:rFonts w:asciiTheme="minorHAnsi" w:eastAsia="Times New Roman" w:hAnsiTheme="minorHAnsi" w:cs="Times New Roman"/>
                <w:i/>
                <w:iCs/>
                <w:color w:val="000000"/>
                <w:lang w:eastAsia="de-DE" w:bidi="ar-SA"/>
              </w:rPr>
              <w:t>Z. ardabiliae</w:t>
            </w:r>
            <w:r w:rsidRPr="00AD0F08">
              <w:rPr>
                <w:rFonts w:asciiTheme="minorHAnsi" w:eastAsia="Times New Roman" w:hAnsiTheme="minorHAnsi" w:cs="Times New Roman"/>
                <w:color w:val="000000"/>
                <w:lang w:eastAsia="de-DE" w:bidi="ar-SA"/>
              </w:rPr>
              <w:t xml:space="preserve"> (Za17) </w:t>
            </w:r>
          </w:p>
        </w:tc>
      </w:tr>
      <w:tr w:rsidR="003965C5" w:rsidRPr="00AD0F08" w14:paraId="50BFC755" w14:textId="77777777" w:rsidTr="00640CCF">
        <w:trPr>
          <w:trHeight w:val="320"/>
        </w:trPr>
        <w:tc>
          <w:tcPr>
            <w:tcW w:w="3505" w:type="dxa"/>
            <w:tcBorders>
              <w:top w:val="nil"/>
              <w:left w:val="nil"/>
              <w:bottom w:val="nil"/>
              <w:right w:val="nil"/>
            </w:tcBorders>
            <w:shd w:val="clear" w:color="auto" w:fill="auto"/>
            <w:noWrap/>
            <w:vAlign w:val="bottom"/>
            <w:hideMark/>
          </w:tcPr>
          <w:p w14:paraId="27D70D90" w14:textId="77777777" w:rsidR="003965C5" w:rsidRPr="00AD0F08" w:rsidRDefault="003965C5" w:rsidP="00640CCF">
            <w:pPr>
              <w:widowControl/>
              <w:suppressAutoHyphens w:val="0"/>
              <w:rPr>
                <w:rFonts w:asciiTheme="minorHAnsi" w:eastAsia="Times New Roman" w:hAnsiTheme="minorHAnsi" w:cs="Times New Roman"/>
                <w:color w:val="000000"/>
                <w:lang w:eastAsia="de-DE" w:bidi="ar-SA"/>
              </w:rPr>
            </w:pPr>
          </w:p>
        </w:tc>
        <w:tc>
          <w:tcPr>
            <w:tcW w:w="1935" w:type="dxa"/>
            <w:tcBorders>
              <w:top w:val="nil"/>
              <w:left w:val="nil"/>
              <w:bottom w:val="nil"/>
              <w:right w:val="nil"/>
            </w:tcBorders>
            <w:shd w:val="clear" w:color="auto" w:fill="auto"/>
            <w:noWrap/>
            <w:vAlign w:val="bottom"/>
            <w:hideMark/>
          </w:tcPr>
          <w:p w14:paraId="00301C71" w14:textId="77777777" w:rsidR="003965C5" w:rsidRPr="00AD0F08" w:rsidRDefault="003965C5" w:rsidP="00640CCF">
            <w:pPr>
              <w:widowControl/>
              <w:suppressAutoHyphens w:val="0"/>
              <w:jc w:val="right"/>
              <w:rPr>
                <w:rFonts w:asciiTheme="minorHAnsi" w:eastAsia="Times New Roman" w:hAnsiTheme="minorHAnsi" w:cs="Times New Roman"/>
                <w:sz w:val="20"/>
                <w:szCs w:val="20"/>
                <w:lang w:eastAsia="de-DE" w:bidi="ar-SA"/>
              </w:rPr>
            </w:pPr>
          </w:p>
        </w:tc>
      </w:tr>
      <w:tr w:rsidR="003965C5" w:rsidRPr="00AD0F08" w14:paraId="16148FF2" w14:textId="77777777" w:rsidTr="00640CCF">
        <w:trPr>
          <w:trHeight w:val="320"/>
        </w:trPr>
        <w:tc>
          <w:tcPr>
            <w:tcW w:w="3505" w:type="dxa"/>
            <w:tcBorders>
              <w:top w:val="nil"/>
              <w:left w:val="nil"/>
              <w:bottom w:val="nil"/>
              <w:right w:val="nil"/>
            </w:tcBorders>
            <w:shd w:val="clear" w:color="auto" w:fill="auto"/>
            <w:noWrap/>
            <w:vAlign w:val="bottom"/>
            <w:hideMark/>
          </w:tcPr>
          <w:p w14:paraId="684EEF21" w14:textId="77777777" w:rsidR="003965C5" w:rsidRPr="00AD0F08" w:rsidRDefault="003965C5" w:rsidP="00640CCF">
            <w:pPr>
              <w:widowControl/>
              <w:suppressAutoHyphens w:val="0"/>
              <w:rPr>
                <w:rFonts w:asciiTheme="minorHAnsi" w:eastAsia="Times New Roman" w:hAnsiTheme="minorHAnsi" w:cs="Times New Roman"/>
                <w:color w:val="000000"/>
                <w:lang w:val="de-DE" w:eastAsia="de-DE" w:bidi="ar-SA"/>
              </w:rPr>
            </w:pPr>
            <w:r w:rsidRPr="00AD0F08">
              <w:rPr>
                <w:rFonts w:asciiTheme="minorHAnsi" w:eastAsia="Times New Roman" w:hAnsiTheme="minorHAnsi" w:cs="Times New Roman"/>
                <w:color w:val="000000"/>
                <w:lang w:val="de-DE" w:eastAsia="de-DE" w:bidi="ar-SA"/>
              </w:rPr>
              <w:t>contigs (&gt;= 0 bp)</w:t>
            </w:r>
          </w:p>
        </w:tc>
        <w:tc>
          <w:tcPr>
            <w:tcW w:w="1935" w:type="dxa"/>
            <w:tcBorders>
              <w:top w:val="nil"/>
              <w:left w:val="nil"/>
              <w:bottom w:val="nil"/>
              <w:right w:val="nil"/>
            </w:tcBorders>
            <w:shd w:val="clear" w:color="auto" w:fill="auto"/>
            <w:noWrap/>
            <w:vAlign w:val="bottom"/>
            <w:hideMark/>
          </w:tcPr>
          <w:p w14:paraId="3738B8C1" w14:textId="77777777" w:rsidR="003965C5" w:rsidRPr="00AD0F08" w:rsidRDefault="003965C5" w:rsidP="00640CCF">
            <w:pPr>
              <w:widowControl/>
              <w:suppressAutoHyphens w:val="0"/>
              <w:jc w:val="right"/>
              <w:rPr>
                <w:rFonts w:asciiTheme="minorHAnsi" w:eastAsia="Times New Roman" w:hAnsiTheme="minorHAnsi" w:cs="Times New Roman"/>
                <w:color w:val="000000"/>
                <w:lang w:val="de-DE" w:eastAsia="de-DE" w:bidi="ar-SA"/>
              </w:rPr>
            </w:pPr>
            <w:r w:rsidRPr="00AD0F08">
              <w:rPr>
                <w:rFonts w:asciiTheme="minorHAnsi" w:eastAsia="Times New Roman" w:hAnsiTheme="minorHAnsi" w:cs="Times New Roman"/>
                <w:color w:val="000000"/>
                <w:lang w:val="de-DE" w:eastAsia="de-DE" w:bidi="ar-SA"/>
              </w:rPr>
              <w:t>59</w:t>
            </w:r>
          </w:p>
        </w:tc>
      </w:tr>
      <w:tr w:rsidR="003965C5" w:rsidRPr="00AD0F08" w14:paraId="17585B74" w14:textId="77777777" w:rsidTr="00640CCF">
        <w:trPr>
          <w:trHeight w:val="320"/>
        </w:trPr>
        <w:tc>
          <w:tcPr>
            <w:tcW w:w="3505" w:type="dxa"/>
            <w:tcBorders>
              <w:top w:val="nil"/>
              <w:left w:val="nil"/>
              <w:bottom w:val="nil"/>
              <w:right w:val="nil"/>
            </w:tcBorders>
            <w:shd w:val="clear" w:color="auto" w:fill="auto"/>
            <w:noWrap/>
            <w:vAlign w:val="bottom"/>
            <w:hideMark/>
          </w:tcPr>
          <w:p w14:paraId="2DE2E37F" w14:textId="77777777" w:rsidR="003965C5" w:rsidRPr="00AD0F08" w:rsidRDefault="003965C5" w:rsidP="00640CCF">
            <w:pPr>
              <w:widowControl/>
              <w:suppressAutoHyphens w:val="0"/>
              <w:rPr>
                <w:rFonts w:asciiTheme="minorHAnsi" w:eastAsia="Times New Roman" w:hAnsiTheme="minorHAnsi" w:cs="Times New Roman"/>
                <w:color w:val="000000"/>
                <w:lang w:val="de-DE" w:eastAsia="de-DE" w:bidi="ar-SA"/>
              </w:rPr>
            </w:pPr>
            <w:r w:rsidRPr="00AD0F08">
              <w:rPr>
                <w:rFonts w:asciiTheme="minorHAnsi" w:eastAsia="Times New Roman" w:hAnsiTheme="minorHAnsi" w:cs="Times New Roman"/>
                <w:color w:val="000000"/>
                <w:lang w:val="de-DE" w:eastAsia="de-DE" w:bidi="ar-SA"/>
              </w:rPr>
              <w:t>contigs (&gt;= 1000 bp)</w:t>
            </w:r>
          </w:p>
        </w:tc>
        <w:tc>
          <w:tcPr>
            <w:tcW w:w="1935" w:type="dxa"/>
            <w:tcBorders>
              <w:top w:val="nil"/>
              <w:left w:val="nil"/>
              <w:bottom w:val="nil"/>
              <w:right w:val="nil"/>
            </w:tcBorders>
            <w:shd w:val="clear" w:color="auto" w:fill="auto"/>
            <w:noWrap/>
            <w:vAlign w:val="bottom"/>
            <w:hideMark/>
          </w:tcPr>
          <w:p w14:paraId="743E5BE5" w14:textId="77777777" w:rsidR="003965C5" w:rsidRPr="00AD0F08" w:rsidRDefault="003965C5" w:rsidP="00640CCF">
            <w:pPr>
              <w:widowControl/>
              <w:suppressAutoHyphens w:val="0"/>
              <w:jc w:val="right"/>
              <w:rPr>
                <w:rFonts w:asciiTheme="minorHAnsi" w:eastAsia="Times New Roman" w:hAnsiTheme="minorHAnsi" w:cs="Times New Roman"/>
                <w:color w:val="000000"/>
                <w:lang w:val="de-DE" w:eastAsia="de-DE" w:bidi="ar-SA"/>
              </w:rPr>
            </w:pPr>
            <w:r w:rsidRPr="00AD0F08">
              <w:rPr>
                <w:rFonts w:asciiTheme="minorHAnsi" w:eastAsia="Times New Roman" w:hAnsiTheme="minorHAnsi" w:cs="Times New Roman"/>
                <w:color w:val="000000"/>
                <w:lang w:val="de-DE" w:eastAsia="de-DE" w:bidi="ar-SA"/>
              </w:rPr>
              <w:t>59</w:t>
            </w:r>
          </w:p>
        </w:tc>
      </w:tr>
      <w:tr w:rsidR="003965C5" w:rsidRPr="00AD0F08" w14:paraId="1A0EC215" w14:textId="77777777" w:rsidTr="00640CCF">
        <w:trPr>
          <w:trHeight w:val="344"/>
        </w:trPr>
        <w:tc>
          <w:tcPr>
            <w:tcW w:w="3505" w:type="dxa"/>
            <w:tcBorders>
              <w:top w:val="nil"/>
              <w:left w:val="nil"/>
              <w:bottom w:val="nil"/>
              <w:right w:val="nil"/>
            </w:tcBorders>
            <w:shd w:val="clear" w:color="auto" w:fill="auto"/>
            <w:noWrap/>
            <w:vAlign w:val="bottom"/>
            <w:hideMark/>
          </w:tcPr>
          <w:p w14:paraId="33B91CFA" w14:textId="77777777" w:rsidR="003965C5" w:rsidRPr="00AD0F08" w:rsidRDefault="003965C5" w:rsidP="00640CCF">
            <w:pPr>
              <w:widowControl/>
              <w:suppressAutoHyphens w:val="0"/>
              <w:rPr>
                <w:rFonts w:asciiTheme="minorHAnsi" w:eastAsia="Times New Roman" w:hAnsiTheme="minorHAnsi" w:cs="Times New Roman"/>
                <w:color w:val="000000"/>
                <w:lang w:val="de-DE" w:eastAsia="de-DE" w:bidi="ar-SA"/>
              </w:rPr>
            </w:pPr>
            <w:r w:rsidRPr="00AD0F08">
              <w:rPr>
                <w:rFonts w:asciiTheme="minorHAnsi" w:eastAsia="Times New Roman" w:hAnsiTheme="minorHAnsi" w:cs="Times New Roman"/>
                <w:color w:val="000000"/>
                <w:lang w:val="de-DE" w:eastAsia="de-DE" w:bidi="ar-SA"/>
              </w:rPr>
              <w:t xml:space="preserve">total </w:t>
            </w:r>
            <w:proofErr w:type="spellStart"/>
            <w:r w:rsidRPr="00AD0F08">
              <w:rPr>
                <w:rFonts w:asciiTheme="minorHAnsi" w:eastAsia="Times New Roman" w:hAnsiTheme="minorHAnsi" w:cs="Times New Roman"/>
                <w:color w:val="000000"/>
                <w:lang w:val="de-DE" w:eastAsia="de-DE" w:bidi="ar-SA"/>
              </w:rPr>
              <w:t>length</w:t>
            </w:r>
            <w:proofErr w:type="spellEnd"/>
            <w:r w:rsidRPr="00AD0F08">
              <w:rPr>
                <w:rFonts w:asciiTheme="minorHAnsi" w:eastAsia="Times New Roman" w:hAnsiTheme="minorHAnsi" w:cs="Times New Roman"/>
                <w:color w:val="000000"/>
                <w:lang w:val="de-DE" w:eastAsia="de-DE" w:bidi="ar-SA"/>
              </w:rPr>
              <w:t xml:space="preserve"> (bp)</w:t>
            </w:r>
          </w:p>
        </w:tc>
        <w:tc>
          <w:tcPr>
            <w:tcW w:w="1935" w:type="dxa"/>
            <w:tcBorders>
              <w:top w:val="nil"/>
              <w:left w:val="nil"/>
              <w:bottom w:val="nil"/>
              <w:right w:val="nil"/>
            </w:tcBorders>
            <w:shd w:val="clear" w:color="auto" w:fill="auto"/>
            <w:noWrap/>
            <w:vAlign w:val="bottom"/>
            <w:hideMark/>
          </w:tcPr>
          <w:p w14:paraId="5F996043" w14:textId="77777777" w:rsidR="003965C5" w:rsidRPr="00AD0F08" w:rsidRDefault="003965C5" w:rsidP="00640CCF">
            <w:pPr>
              <w:widowControl/>
              <w:suppressAutoHyphens w:val="0"/>
              <w:jc w:val="right"/>
              <w:rPr>
                <w:rFonts w:asciiTheme="minorHAnsi" w:eastAsia="Times New Roman" w:hAnsiTheme="minorHAnsi" w:cs="Times New Roman"/>
                <w:color w:val="000000"/>
                <w:lang w:val="de-DE" w:eastAsia="de-DE" w:bidi="ar-SA"/>
              </w:rPr>
            </w:pPr>
            <w:r w:rsidRPr="00AD0F08">
              <w:rPr>
                <w:rFonts w:asciiTheme="minorHAnsi" w:eastAsia="Times New Roman" w:hAnsiTheme="minorHAnsi" w:cs="Times New Roman"/>
                <w:color w:val="000000"/>
                <w:lang w:val="de-DE" w:eastAsia="de-DE" w:bidi="ar-SA"/>
              </w:rPr>
              <w:t>38,963,581</w:t>
            </w:r>
          </w:p>
        </w:tc>
      </w:tr>
      <w:tr w:rsidR="003965C5" w:rsidRPr="00AD0F08" w14:paraId="5F4C3AD2" w14:textId="77777777" w:rsidTr="00640CCF">
        <w:trPr>
          <w:trHeight w:val="320"/>
        </w:trPr>
        <w:tc>
          <w:tcPr>
            <w:tcW w:w="3505" w:type="dxa"/>
            <w:tcBorders>
              <w:top w:val="nil"/>
              <w:left w:val="nil"/>
              <w:bottom w:val="nil"/>
              <w:right w:val="nil"/>
            </w:tcBorders>
            <w:shd w:val="clear" w:color="auto" w:fill="auto"/>
            <w:noWrap/>
            <w:vAlign w:val="bottom"/>
            <w:hideMark/>
          </w:tcPr>
          <w:p w14:paraId="43386E01" w14:textId="77777777" w:rsidR="003965C5" w:rsidRPr="00AD0F08" w:rsidRDefault="003965C5" w:rsidP="00640CCF">
            <w:pPr>
              <w:widowControl/>
              <w:suppressAutoHyphens w:val="0"/>
              <w:rPr>
                <w:rFonts w:asciiTheme="minorHAnsi" w:eastAsia="Times New Roman" w:hAnsiTheme="minorHAnsi" w:cs="Times New Roman"/>
                <w:color w:val="000000"/>
                <w:lang w:val="de-DE" w:eastAsia="de-DE" w:bidi="ar-SA"/>
              </w:rPr>
            </w:pPr>
            <w:proofErr w:type="spellStart"/>
            <w:r w:rsidRPr="00AD0F08">
              <w:rPr>
                <w:rFonts w:asciiTheme="minorHAnsi" w:eastAsia="Times New Roman" w:hAnsiTheme="minorHAnsi" w:cs="Times New Roman"/>
                <w:color w:val="000000"/>
                <w:lang w:val="de-DE" w:eastAsia="de-DE" w:bidi="ar-SA"/>
              </w:rPr>
              <w:t>largest</w:t>
            </w:r>
            <w:proofErr w:type="spellEnd"/>
            <w:r w:rsidRPr="00AD0F08">
              <w:rPr>
                <w:rFonts w:asciiTheme="minorHAnsi" w:eastAsia="Times New Roman" w:hAnsiTheme="minorHAnsi" w:cs="Times New Roman"/>
                <w:color w:val="000000"/>
                <w:lang w:val="de-DE" w:eastAsia="de-DE" w:bidi="ar-SA"/>
              </w:rPr>
              <w:t xml:space="preserve"> </w:t>
            </w:r>
            <w:proofErr w:type="spellStart"/>
            <w:r w:rsidRPr="00AD0F08">
              <w:rPr>
                <w:rFonts w:asciiTheme="minorHAnsi" w:eastAsia="Times New Roman" w:hAnsiTheme="minorHAnsi" w:cs="Times New Roman"/>
                <w:color w:val="000000"/>
                <w:lang w:val="de-DE" w:eastAsia="de-DE" w:bidi="ar-SA"/>
              </w:rPr>
              <w:t>contig</w:t>
            </w:r>
            <w:proofErr w:type="spellEnd"/>
            <w:r w:rsidRPr="00AD0F08">
              <w:rPr>
                <w:rFonts w:asciiTheme="minorHAnsi" w:eastAsia="Times New Roman" w:hAnsiTheme="minorHAnsi" w:cs="Times New Roman"/>
                <w:color w:val="000000"/>
                <w:lang w:val="de-DE" w:eastAsia="de-DE" w:bidi="ar-SA"/>
              </w:rPr>
              <w:t xml:space="preserve"> (bp)</w:t>
            </w:r>
          </w:p>
        </w:tc>
        <w:tc>
          <w:tcPr>
            <w:tcW w:w="1935" w:type="dxa"/>
            <w:tcBorders>
              <w:top w:val="nil"/>
              <w:left w:val="nil"/>
              <w:bottom w:val="nil"/>
              <w:right w:val="nil"/>
            </w:tcBorders>
            <w:shd w:val="clear" w:color="auto" w:fill="auto"/>
            <w:noWrap/>
            <w:vAlign w:val="bottom"/>
            <w:hideMark/>
          </w:tcPr>
          <w:p w14:paraId="66E0F60D" w14:textId="77777777" w:rsidR="003965C5" w:rsidRPr="00AD0F08" w:rsidRDefault="003965C5" w:rsidP="00640CCF">
            <w:pPr>
              <w:widowControl/>
              <w:suppressAutoHyphens w:val="0"/>
              <w:jc w:val="right"/>
              <w:rPr>
                <w:rFonts w:asciiTheme="minorHAnsi" w:eastAsia="Times New Roman" w:hAnsiTheme="minorHAnsi" w:cs="Times New Roman"/>
                <w:color w:val="000000"/>
                <w:lang w:val="de-DE" w:eastAsia="de-DE" w:bidi="ar-SA"/>
              </w:rPr>
            </w:pPr>
            <w:r w:rsidRPr="00AD0F08">
              <w:rPr>
                <w:rFonts w:asciiTheme="minorHAnsi" w:eastAsia="Times New Roman" w:hAnsiTheme="minorHAnsi" w:cs="Times New Roman"/>
                <w:color w:val="000000"/>
                <w:lang w:val="de-DE" w:eastAsia="de-DE" w:bidi="ar-SA"/>
              </w:rPr>
              <w:t>4,826,179</w:t>
            </w:r>
          </w:p>
        </w:tc>
      </w:tr>
      <w:tr w:rsidR="003965C5" w:rsidRPr="00AD0F08" w14:paraId="544A8C69" w14:textId="77777777" w:rsidTr="00640CCF">
        <w:trPr>
          <w:trHeight w:val="320"/>
        </w:trPr>
        <w:tc>
          <w:tcPr>
            <w:tcW w:w="3505" w:type="dxa"/>
            <w:tcBorders>
              <w:top w:val="nil"/>
              <w:left w:val="nil"/>
              <w:bottom w:val="nil"/>
              <w:right w:val="nil"/>
            </w:tcBorders>
            <w:shd w:val="clear" w:color="auto" w:fill="auto"/>
            <w:noWrap/>
            <w:vAlign w:val="bottom"/>
            <w:hideMark/>
          </w:tcPr>
          <w:p w14:paraId="0A796BED" w14:textId="77777777" w:rsidR="003965C5" w:rsidRPr="00AD0F08" w:rsidRDefault="003965C5" w:rsidP="00640CCF">
            <w:pPr>
              <w:widowControl/>
              <w:suppressAutoHyphens w:val="0"/>
              <w:rPr>
                <w:rFonts w:asciiTheme="minorHAnsi" w:eastAsia="Times New Roman" w:hAnsiTheme="minorHAnsi" w:cs="Times New Roman"/>
                <w:color w:val="000000"/>
                <w:lang w:val="de-DE" w:eastAsia="de-DE" w:bidi="ar-SA"/>
              </w:rPr>
            </w:pPr>
            <w:r w:rsidRPr="00AD0F08">
              <w:rPr>
                <w:rFonts w:asciiTheme="minorHAnsi" w:eastAsia="Times New Roman" w:hAnsiTheme="minorHAnsi" w:cs="Times New Roman"/>
                <w:color w:val="000000"/>
                <w:lang w:val="de-DE" w:eastAsia="de-DE" w:bidi="ar-SA"/>
              </w:rPr>
              <w:t>GC (%)</w:t>
            </w:r>
          </w:p>
        </w:tc>
        <w:tc>
          <w:tcPr>
            <w:tcW w:w="1935" w:type="dxa"/>
            <w:tcBorders>
              <w:top w:val="nil"/>
              <w:left w:val="nil"/>
              <w:bottom w:val="nil"/>
              <w:right w:val="nil"/>
            </w:tcBorders>
            <w:shd w:val="clear" w:color="auto" w:fill="auto"/>
            <w:noWrap/>
            <w:vAlign w:val="bottom"/>
            <w:hideMark/>
          </w:tcPr>
          <w:p w14:paraId="6F2E0A35" w14:textId="77777777" w:rsidR="003965C5" w:rsidRPr="00AD0F08" w:rsidRDefault="003965C5" w:rsidP="00640CCF">
            <w:pPr>
              <w:widowControl/>
              <w:suppressAutoHyphens w:val="0"/>
              <w:jc w:val="right"/>
              <w:rPr>
                <w:rFonts w:asciiTheme="minorHAnsi" w:eastAsia="Times New Roman" w:hAnsiTheme="minorHAnsi" w:cs="Times New Roman"/>
                <w:color w:val="000000"/>
                <w:lang w:val="de-DE" w:eastAsia="de-DE" w:bidi="ar-SA"/>
              </w:rPr>
            </w:pPr>
            <w:r w:rsidRPr="00AD0F08">
              <w:rPr>
                <w:rFonts w:asciiTheme="minorHAnsi" w:eastAsia="Times New Roman" w:hAnsiTheme="minorHAnsi" w:cs="Times New Roman"/>
                <w:color w:val="000000"/>
                <w:lang w:val="de-DE" w:eastAsia="de-DE" w:bidi="ar-SA"/>
              </w:rPr>
              <w:t>51.25</w:t>
            </w:r>
          </w:p>
        </w:tc>
      </w:tr>
      <w:tr w:rsidR="003965C5" w:rsidRPr="00AD0F08" w14:paraId="7C857BB6" w14:textId="77777777" w:rsidTr="00640CCF">
        <w:trPr>
          <w:trHeight w:val="320"/>
        </w:trPr>
        <w:tc>
          <w:tcPr>
            <w:tcW w:w="3505" w:type="dxa"/>
            <w:tcBorders>
              <w:top w:val="nil"/>
              <w:left w:val="nil"/>
              <w:bottom w:val="nil"/>
              <w:right w:val="nil"/>
            </w:tcBorders>
            <w:shd w:val="clear" w:color="auto" w:fill="auto"/>
            <w:noWrap/>
            <w:vAlign w:val="bottom"/>
            <w:hideMark/>
          </w:tcPr>
          <w:p w14:paraId="4AF98D68" w14:textId="77777777" w:rsidR="003965C5" w:rsidRPr="00AD0F08" w:rsidRDefault="003965C5" w:rsidP="00640CCF">
            <w:pPr>
              <w:widowControl/>
              <w:suppressAutoHyphens w:val="0"/>
              <w:rPr>
                <w:rFonts w:asciiTheme="minorHAnsi" w:eastAsia="Times New Roman" w:hAnsiTheme="minorHAnsi" w:cs="Times New Roman"/>
                <w:color w:val="000000"/>
                <w:lang w:val="de-DE" w:eastAsia="de-DE" w:bidi="ar-SA"/>
              </w:rPr>
            </w:pPr>
            <w:r w:rsidRPr="00AD0F08">
              <w:rPr>
                <w:rFonts w:asciiTheme="minorHAnsi" w:eastAsia="Times New Roman" w:hAnsiTheme="minorHAnsi" w:cs="Times New Roman"/>
                <w:color w:val="000000"/>
                <w:lang w:val="de-DE" w:eastAsia="de-DE" w:bidi="ar-SA"/>
              </w:rPr>
              <w:t>N50</w:t>
            </w:r>
          </w:p>
        </w:tc>
        <w:tc>
          <w:tcPr>
            <w:tcW w:w="1935" w:type="dxa"/>
            <w:tcBorders>
              <w:top w:val="nil"/>
              <w:left w:val="nil"/>
              <w:bottom w:val="nil"/>
              <w:right w:val="nil"/>
            </w:tcBorders>
            <w:shd w:val="clear" w:color="auto" w:fill="auto"/>
            <w:noWrap/>
            <w:vAlign w:val="bottom"/>
            <w:hideMark/>
          </w:tcPr>
          <w:p w14:paraId="62B2B2E2" w14:textId="77777777" w:rsidR="003965C5" w:rsidRPr="00AD0F08" w:rsidRDefault="003965C5" w:rsidP="00640CCF">
            <w:pPr>
              <w:widowControl/>
              <w:suppressAutoHyphens w:val="0"/>
              <w:jc w:val="right"/>
              <w:rPr>
                <w:rFonts w:asciiTheme="minorHAnsi" w:eastAsia="Times New Roman" w:hAnsiTheme="minorHAnsi" w:cs="Times New Roman"/>
                <w:color w:val="000000"/>
                <w:lang w:val="de-DE" w:eastAsia="de-DE" w:bidi="ar-SA"/>
              </w:rPr>
            </w:pPr>
            <w:r w:rsidRPr="00AD0F08">
              <w:rPr>
                <w:rFonts w:asciiTheme="minorHAnsi" w:eastAsia="Times New Roman" w:hAnsiTheme="minorHAnsi" w:cs="Times New Roman"/>
                <w:color w:val="000000"/>
                <w:lang w:val="de-DE" w:eastAsia="de-DE" w:bidi="ar-SA"/>
              </w:rPr>
              <w:t>1,413,809</w:t>
            </w:r>
          </w:p>
        </w:tc>
      </w:tr>
      <w:tr w:rsidR="003965C5" w:rsidRPr="00AD0F08" w14:paraId="6D80F2CC" w14:textId="77777777" w:rsidTr="00640CCF">
        <w:trPr>
          <w:trHeight w:val="320"/>
        </w:trPr>
        <w:tc>
          <w:tcPr>
            <w:tcW w:w="3505" w:type="dxa"/>
            <w:tcBorders>
              <w:top w:val="nil"/>
              <w:left w:val="nil"/>
              <w:bottom w:val="nil"/>
              <w:right w:val="nil"/>
            </w:tcBorders>
            <w:shd w:val="clear" w:color="auto" w:fill="auto"/>
            <w:noWrap/>
            <w:vAlign w:val="bottom"/>
            <w:hideMark/>
          </w:tcPr>
          <w:p w14:paraId="27E7FFBD" w14:textId="77777777" w:rsidR="003965C5" w:rsidRPr="00AD0F08" w:rsidRDefault="003965C5" w:rsidP="00640CCF">
            <w:pPr>
              <w:widowControl/>
              <w:suppressAutoHyphens w:val="0"/>
              <w:rPr>
                <w:rFonts w:asciiTheme="minorHAnsi" w:eastAsia="Times New Roman" w:hAnsiTheme="minorHAnsi" w:cs="Times New Roman"/>
                <w:color w:val="000000"/>
                <w:lang w:val="de-DE" w:eastAsia="de-DE" w:bidi="ar-SA"/>
              </w:rPr>
            </w:pPr>
            <w:r w:rsidRPr="00AD0F08">
              <w:rPr>
                <w:rFonts w:asciiTheme="minorHAnsi" w:eastAsia="Times New Roman" w:hAnsiTheme="minorHAnsi" w:cs="Times New Roman"/>
                <w:color w:val="000000"/>
                <w:lang w:val="de-DE" w:eastAsia="de-DE" w:bidi="ar-SA"/>
              </w:rPr>
              <w:t>N75</w:t>
            </w:r>
          </w:p>
        </w:tc>
        <w:tc>
          <w:tcPr>
            <w:tcW w:w="1935" w:type="dxa"/>
            <w:tcBorders>
              <w:top w:val="nil"/>
              <w:left w:val="nil"/>
              <w:bottom w:val="nil"/>
              <w:right w:val="nil"/>
            </w:tcBorders>
            <w:shd w:val="clear" w:color="auto" w:fill="auto"/>
            <w:noWrap/>
            <w:vAlign w:val="bottom"/>
            <w:hideMark/>
          </w:tcPr>
          <w:p w14:paraId="0A4AAAA3" w14:textId="77777777" w:rsidR="003965C5" w:rsidRPr="00AD0F08" w:rsidRDefault="003965C5" w:rsidP="00640CCF">
            <w:pPr>
              <w:widowControl/>
              <w:suppressAutoHyphens w:val="0"/>
              <w:jc w:val="right"/>
              <w:rPr>
                <w:rFonts w:asciiTheme="minorHAnsi" w:eastAsia="Times New Roman" w:hAnsiTheme="minorHAnsi" w:cs="Times New Roman"/>
                <w:color w:val="000000"/>
                <w:lang w:val="de-DE" w:eastAsia="de-DE" w:bidi="ar-SA"/>
              </w:rPr>
            </w:pPr>
            <w:r w:rsidRPr="00AD0F08">
              <w:rPr>
                <w:rFonts w:asciiTheme="minorHAnsi" w:eastAsia="Times New Roman" w:hAnsiTheme="minorHAnsi" w:cs="Times New Roman"/>
                <w:color w:val="000000"/>
                <w:lang w:val="de-DE" w:eastAsia="de-DE" w:bidi="ar-SA"/>
              </w:rPr>
              <w:t>689,698</w:t>
            </w:r>
          </w:p>
        </w:tc>
      </w:tr>
      <w:tr w:rsidR="003965C5" w:rsidRPr="00AD0F08" w14:paraId="13C92C87" w14:textId="77777777" w:rsidTr="00640CCF">
        <w:trPr>
          <w:trHeight w:val="320"/>
        </w:trPr>
        <w:tc>
          <w:tcPr>
            <w:tcW w:w="3505" w:type="dxa"/>
            <w:tcBorders>
              <w:top w:val="nil"/>
              <w:left w:val="nil"/>
              <w:bottom w:val="nil"/>
              <w:right w:val="nil"/>
            </w:tcBorders>
            <w:shd w:val="clear" w:color="auto" w:fill="auto"/>
            <w:noWrap/>
            <w:vAlign w:val="bottom"/>
            <w:hideMark/>
          </w:tcPr>
          <w:p w14:paraId="06EF762C" w14:textId="77777777" w:rsidR="003965C5" w:rsidRPr="00AD0F08" w:rsidRDefault="003965C5" w:rsidP="00640CCF">
            <w:pPr>
              <w:widowControl/>
              <w:suppressAutoHyphens w:val="0"/>
              <w:rPr>
                <w:rFonts w:asciiTheme="minorHAnsi" w:eastAsia="Times New Roman" w:hAnsiTheme="minorHAnsi" w:cs="Times New Roman"/>
                <w:color w:val="000000"/>
                <w:lang w:val="de-DE" w:eastAsia="de-DE" w:bidi="ar-SA"/>
              </w:rPr>
            </w:pPr>
            <w:r w:rsidRPr="00AD0F08">
              <w:rPr>
                <w:rFonts w:asciiTheme="minorHAnsi" w:eastAsia="Times New Roman" w:hAnsiTheme="minorHAnsi" w:cs="Times New Roman"/>
                <w:color w:val="000000"/>
                <w:lang w:val="de-DE" w:eastAsia="de-DE" w:bidi="ar-SA"/>
              </w:rPr>
              <w:t>L50</w:t>
            </w:r>
          </w:p>
        </w:tc>
        <w:tc>
          <w:tcPr>
            <w:tcW w:w="1935" w:type="dxa"/>
            <w:tcBorders>
              <w:top w:val="nil"/>
              <w:left w:val="nil"/>
              <w:bottom w:val="nil"/>
              <w:right w:val="nil"/>
            </w:tcBorders>
            <w:shd w:val="clear" w:color="auto" w:fill="auto"/>
            <w:noWrap/>
            <w:vAlign w:val="bottom"/>
            <w:hideMark/>
          </w:tcPr>
          <w:p w14:paraId="2B95256A" w14:textId="77777777" w:rsidR="003965C5" w:rsidRPr="00AD0F08" w:rsidRDefault="003965C5" w:rsidP="00640CCF">
            <w:pPr>
              <w:widowControl/>
              <w:suppressAutoHyphens w:val="0"/>
              <w:jc w:val="right"/>
              <w:rPr>
                <w:rFonts w:asciiTheme="minorHAnsi" w:eastAsia="Times New Roman" w:hAnsiTheme="minorHAnsi" w:cs="Times New Roman"/>
                <w:color w:val="000000"/>
                <w:lang w:val="de-DE" w:eastAsia="de-DE" w:bidi="ar-SA"/>
              </w:rPr>
            </w:pPr>
            <w:r w:rsidRPr="00AD0F08">
              <w:rPr>
                <w:rFonts w:asciiTheme="minorHAnsi" w:eastAsia="Times New Roman" w:hAnsiTheme="minorHAnsi" w:cs="Times New Roman"/>
                <w:color w:val="000000"/>
                <w:lang w:val="de-DE" w:eastAsia="de-DE" w:bidi="ar-SA"/>
              </w:rPr>
              <w:t>9</w:t>
            </w:r>
          </w:p>
        </w:tc>
      </w:tr>
      <w:tr w:rsidR="003965C5" w:rsidRPr="00AD0F08" w14:paraId="4C9C341C" w14:textId="77777777" w:rsidTr="00640CCF">
        <w:trPr>
          <w:trHeight w:val="320"/>
        </w:trPr>
        <w:tc>
          <w:tcPr>
            <w:tcW w:w="3505" w:type="dxa"/>
            <w:tcBorders>
              <w:top w:val="nil"/>
              <w:left w:val="nil"/>
              <w:bottom w:val="nil"/>
              <w:right w:val="nil"/>
            </w:tcBorders>
            <w:shd w:val="clear" w:color="auto" w:fill="auto"/>
            <w:noWrap/>
            <w:vAlign w:val="bottom"/>
            <w:hideMark/>
          </w:tcPr>
          <w:p w14:paraId="27BDE26E" w14:textId="77777777" w:rsidR="003965C5" w:rsidRPr="00AD0F08" w:rsidRDefault="003965C5" w:rsidP="00640CCF">
            <w:pPr>
              <w:widowControl/>
              <w:suppressAutoHyphens w:val="0"/>
              <w:rPr>
                <w:rFonts w:asciiTheme="minorHAnsi" w:eastAsia="Times New Roman" w:hAnsiTheme="minorHAnsi" w:cs="Times New Roman"/>
                <w:color w:val="000000"/>
                <w:lang w:val="de-DE" w:eastAsia="de-DE" w:bidi="ar-SA"/>
              </w:rPr>
            </w:pPr>
            <w:r w:rsidRPr="00AD0F08">
              <w:rPr>
                <w:rFonts w:asciiTheme="minorHAnsi" w:eastAsia="Times New Roman" w:hAnsiTheme="minorHAnsi" w:cs="Times New Roman"/>
                <w:color w:val="000000"/>
                <w:lang w:val="de-DE" w:eastAsia="de-DE" w:bidi="ar-SA"/>
              </w:rPr>
              <w:t>L75</w:t>
            </w:r>
          </w:p>
        </w:tc>
        <w:tc>
          <w:tcPr>
            <w:tcW w:w="1935" w:type="dxa"/>
            <w:tcBorders>
              <w:top w:val="nil"/>
              <w:left w:val="nil"/>
              <w:bottom w:val="nil"/>
              <w:right w:val="nil"/>
            </w:tcBorders>
            <w:shd w:val="clear" w:color="auto" w:fill="auto"/>
            <w:noWrap/>
            <w:vAlign w:val="bottom"/>
            <w:hideMark/>
          </w:tcPr>
          <w:p w14:paraId="3AA44FF5" w14:textId="77777777" w:rsidR="003965C5" w:rsidRPr="00AD0F08" w:rsidRDefault="003965C5" w:rsidP="00640CCF">
            <w:pPr>
              <w:widowControl/>
              <w:suppressAutoHyphens w:val="0"/>
              <w:jc w:val="right"/>
              <w:rPr>
                <w:rFonts w:asciiTheme="minorHAnsi" w:eastAsia="Times New Roman" w:hAnsiTheme="minorHAnsi" w:cs="Times New Roman"/>
                <w:color w:val="000000"/>
                <w:lang w:val="de-DE" w:eastAsia="de-DE" w:bidi="ar-SA"/>
              </w:rPr>
            </w:pPr>
            <w:r w:rsidRPr="00AD0F08">
              <w:rPr>
                <w:rFonts w:asciiTheme="minorHAnsi" w:eastAsia="Times New Roman" w:hAnsiTheme="minorHAnsi" w:cs="Times New Roman"/>
                <w:color w:val="000000"/>
                <w:lang w:val="de-DE" w:eastAsia="de-DE" w:bidi="ar-SA"/>
              </w:rPr>
              <w:t>18</w:t>
            </w:r>
          </w:p>
        </w:tc>
      </w:tr>
    </w:tbl>
    <w:p w14:paraId="2D04599D" w14:textId="0693789C" w:rsidR="003965C5" w:rsidRPr="003965C5" w:rsidRDefault="003965C5">
      <w:pPr>
        <w:rPr>
          <w:rFonts w:asciiTheme="minorHAnsi" w:hAnsiTheme="minorHAnsi"/>
          <w:b/>
        </w:rPr>
      </w:pPr>
      <w:r w:rsidRPr="003965C5">
        <w:rPr>
          <w:rFonts w:asciiTheme="minorHAnsi" w:hAnsiTheme="minorHAnsi"/>
          <w:b/>
        </w:rPr>
        <w:lastRenderedPageBreak/>
        <w:t>References supplementary text</w:t>
      </w:r>
    </w:p>
    <w:p w14:paraId="6286B2D0" w14:textId="6486D3F7" w:rsidR="003965C5" w:rsidRPr="003965C5" w:rsidRDefault="003965C5">
      <w:pPr>
        <w:rPr>
          <w:rFonts w:asciiTheme="minorHAnsi" w:hAnsiTheme="minorHAnsi"/>
        </w:rPr>
      </w:pPr>
    </w:p>
    <w:p w14:paraId="3AA9C25E" w14:textId="1822104F" w:rsidR="003965C5" w:rsidRPr="003965C5" w:rsidRDefault="003965C5" w:rsidP="003965C5">
      <w:pPr>
        <w:autoSpaceDE w:val="0"/>
        <w:autoSpaceDN w:val="0"/>
        <w:adjustRightInd w:val="0"/>
        <w:rPr>
          <w:rFonts w:ascii="Calibri" w:hAnsi="Calibri" w:cs="Times New Roman"/>
          <w:noProof/>
        </w:rPr>
      </w:pPr>
      <w:r>
        <w:rPr>
          <w:rFonts w:asciiTheme="minorHAnsi" w:hAnsiTheme="minorHAnsi"/>
        </w:rPr>
        <w:fldChar w:fldCharType="begin" w:fldLock="1"/>
      </w:r>
      <w:r>
        <w:rPr>
          <w:rFonts w:asciiTheme="minorHAnsi" w:hAnsiTheme="minorHAnsi"/>
        </w:rPr>
        <w:instrText xml:space="preserve">ADDIN Mendeley Bibliography CSL_BIBLIOGRAPHY </w:instrText>
      </w:r>
      <w:r>
        <w:rPr>
          <w:rFonts w:asciiTheme="minorHAnsi" w:hAnsiTheme="minorHAnsi"/>
        </w:rPr>
        <w:fldChar w:fldCharType="separate"/>
      </w:r>
      <w:r w:rsidRPr="003965C5">
        <w:rPr>
          <w:rFonts w:ascii="Calibri" w:hAnsi="Calibri" w:cs="Times New Roman"/>
          <w:b/>
          <w:bCs/>
          <w:noProof/>
        </w:rPr>
        <w:t>Allen GC, Flores-Vergara M a, Krasynanski S, Kumar S, Thompson WF</w:t>
      </w:r>
      <w:r w:rsidRPr="003965C5">
        <w:rPr>
          <w:rFonts w:ascii="Calibri" w:hAnsi="Calibri" w:cs="Times New Roman"/>
          <w:noProof/>
        </w:rPr>
        <w:t xml:space="preserve">. </w:t>
      </w:r>
      <w:r w:rsidRPr="003965C5">
        <w:rPr>
          <w:rFonts w:ascii="Calibri" w:hAnsi="Calibri" w:cs="Times New Roman"/>
          <w:b/>
          <w:bCs/>
          <w:noProof/>
        </w:rPr>
        <w:t>2006</w:t>
      </w:r>
      <w:r w:rsidRPr="003965C5">
        <w:rPr>
          <w:rFonts w:ascii="Calibri" w:hAnsi="Calibri" w:cs="Times New Roman"/>
          <w:noProof/>
        </w:rPr>
        <w:t xml:space="preserve">. A modified protocol for rapid DNA isolation from plant tissues using cetyltrimethylammonium bromide. </w:t>
      </w:r>
      <w:r w:rsidRPr="003965C5">
        <w:rPr>
          <w:rFonts w:ascii="Calibri" w:hAnsi="Calibri" w:cs="Times New Roman"/>
          <w:i/>
          <w:iCs/>
          <w:noProof/>
        </w:rPr>
        <w:t>Nature protocols</w:t>
      </w:r>
      <w:r w:rsidRPr="003965C5">
        <w:rPr>
          <w:rFonts w:ascii="Calibri" w:hAnsi="Calibri" w:cs="Times New Roman"/>
          <w:noProof/>
        </w:rPr>
        <w:t xml:space="preserve"> </w:t>
      </w:r>
      <w:r w:rsidRPr="003965C5">
        <w:rPr>
          <w:rFonts w:ascii="Calibri" w:hAnsi="Calibri" w:cs="Times New Roman"/>
          <w:b/>
          <w:bCs/>
          <w:noProof/>
        </w:rPr>
        <w:t>1</w:t>
      </w:r>
      <w:r w:rsidRPr="003965C5">
        <w:rPr>
          <w:rFonts w:ascii="Calibri" w:hAnsi="Calibri" w:cs="Times New Roman"/>
          <w:noProof/>
        </w:rPr>
        <w:t>: 2320–2325.</w:t>
      </w:r>
    </w:p>
    <w:p w14:paraId="1D92517D" w14:textId="77777777" w:rsidR="003965C5" w:rsidRPr="003965C5" w:rsidRDefault="003965C5" w:rsidP="003965C5">
      <w:pPr>
        <w:autoSpaceDE w:val="0"/>
        <w:autoSpaceDN w:val="0"/>
        <w:adjustRightInd w:val="0"/>
        <w:rPr>
          <w:rFonts w:ascii="Calibri" w:hAnsi="Calibri" w:cs="Times New Roman"/>
          <w:noProof/>
        </w:rPr>
      </w:pPr>
      <w:r w:rsidRPr="003965C5">
        <w:rPr>
          <w:rFonts w:ascii="Calibri" w:hAnsi="Calibri" w:cs="Times New Roman"/>
          <w:b/>
          <w:bCs/>
          <w:noProof/>
        </w:rPr>
        <w:t>Bolger AM, Lohse M, Usadel B</w:t>
      </w:r>
      <w:r w:rsidRPr="003965C5">
        <w:rPr>
          <w:rFonts w:ascii="Calibri" w:hAnsi="Calibri" w:cs="Times New Roman"/>
          <w:noProof/>
        </w:rPr>
        <w:t xml:space="preserve">. </w:t>
      </w:r>
      <w:r w:rsidRPr="003965C5">
        <w:rPr>
          <w:rFonts w:ascii="Calibri" w:hAnsi="Calibri" w:cs="Times New Roman"/>
          <w:b/>
          <w:bCs/>
          <w:noProof/>
        </w:rPr>
        <w:t>2014</w:t>
      </w:r>
      <w:r w:rsidRPr="003965C5">
        <w:rPr>
          <w:rFonts w:ascii="Calibri" w:hAnsi="Calibri" w:cs="Times New Roman"/>
          <w:noProof/>
        </w:rPr>
        <w:t xml:space="preserve">. Trimmomatic: A flexible trimmer for Illumina sequence data. </w:t>
      </w:r>
      <w:r w:rsidRPr="003965C5">
        <w:rPr>
          <w:rFonts w:ascii="Calibri" w:hAnsi="Calibri" w:cs="Times New Roman"/>
          <w:i/>
          <w:iCs/>
          <w:noProof/>
        </w:rPr>
        <w:t>Bioinformatics</w:t>
      </w:r>
      <w:r w:rsidRPr="003965C5">
        <w:rPr>
          <w:rFonts w:ascii="Calibri" w:hAnsi="Calibri" w:cs="Times New Roman"/>
          <w:noProof/>
        </w:rPr>
        <w:t xml:space="preserve"> </w:t>
      </w:r>
      <w:r w:rsidRPr="003965C5">
        <w:rPr>
          <w:rFonts w:ascii="Calibri" w:hAnsi="Calibri" w:cs="Times New Roman"/>
          <w:b/>
          <w:bCs/>
          <w:noProof/>
        </w:rPr>
        <w:t>30</w:t>
      </w:r>
      <w:r w:rsidRPr="003965C5">
        <w:rPr>
          <w:rFonts w:ascii="Calibri" w:hAnsi="Calibri" w:cs="Times New Roman"/>
          <w:noProof/>
        </w:rPr>
        <w:t>: 2114–2120.</w:t>
      </w:r>
    </w:p>
    <w:p w14:paraId="114CEAE0" w14:textId="77777777" w:rsidR="003965C5" w:rsidRPr="003965C5" w:rsidRDefault="003965C5" w:rsidP="003965C5">
      <w:pPr>
        <w:autoSpaceDE w:val="0"/>
        <w:autoSpaceDN w:val="0"/>
        <w:adjustRightInd w:val="0"/>
        <w:rPr>
          <w:rFonts w:ascii="Calibri" w:hAnsi="Calibri" w:cs="Times New Roman"/>
          <w:noProof/>
        </w:rPr>
      </w:pPr>
      <w:r w:rsidRPr="003965C5">
        <w:rPr>
          <w:rFonts w:ascii="Calibri" w:hAnsi="Calibri" w:cs="Times New Roman"/>
          <w:b/>
          <w:bCs/>
          <w:noProof/>
        </w:rPr>
        <w:t xml:space="preserve">Chin C-S, Alexander DH, Marks P, Klammer AA, Drake J, Heiner C, Clum A, Copeland A, Huddleston J, Eichler EE, </w:t>
      </w:r>
      <w:r w:rsidRPr="003965C5">
        <w:rPr>
          <w:rFonts w:ascii="Calibri" w:hAnsi="Calibri" w:cs="Times New Roman"/>
          <w:b/>
          <w:bCs/>
          <w:i/>
          <w:iCs/>
          <w:noProof/>
        </w:rPr>
        <w:t>et al.</w:t>
      </w:r>
      <w:r w:rsidRPr="003965C5">
        <w:rPr>
          <w:rFonts w:ascii="Calibri" w:hAnsi="Calibri" w:cs="Times New Roman"/>
          <w:noProof/>
        </w:rPr>
        <w:t xml:space="preserve"> </w:t>
      </w:r>
      <w:r w:rsidRPr="003965C5">
        <w:rPr>
          <w:rFonts w:ascii="Calibri" w:hAnsi="Calibri" w:cs="Times New Roman"/>
          <w:b/>
          <w:bCs/>
          <w:noProof/>
        </w:rPr>
        <w:t>2013</w:t>
      </w:r>
      <w:r w:rsidRPr="003965C5">
        <w:rPr>
          <w:rFonts w:ascii="Calibri" w:hAnsi="Calibri" w:cs="Times New Roman"/>
          <w:noProof/>
        </w:rPr>
        <w:t xml:space="preserve">. Nonhybrid, finished microbial genome assemblies from long-read SMRT sequencing data. </w:t>
      </w:r>
      <w:r w:rsidRPr="003965C5">
        <w:rPr>
          <w:rFonts w:ascii="Calibri" w:hAnsi="Calibri" w:cs="Times New Roman"/>
          <w:i/>
          <w:iCs/>
          <w:noProof/>
        </w:rPr>
        <w:t>Nature Methods</w:t>
      </w:r>
      <w:r w:rsidRPr="003965C5">
        <w:rPr>
          <w:rFonts w:ascii="Calibri" w:hAnsi="Calibri" w:cs="Times New Roman"/>
          <w:noProof/>
        </w:rPr>
        <w:t xml:space="preserve"> </w:t>
      </w:r>
      <w:r w:rsidRPr="003965C5">
        <w:rPr>
          <w:rFonts w:ascii="Calibri" w:hAnsi="Calibri" w:cs="Times New Roman"/>
          <w:b/>
          <w:bCs/>
          <w:noProof/>
        </w:rPr>
        <w:t>10</w:t>
      </w:r>
      <w:r w:rsidRPr="003965C5">
        <w:rPr>
          <w:rFonts w:ascii="Calibri" w:hAnsi="Calibri" w:cs="Times New Roman"/>
          <w:noProof/>
        </w:rPr>
        <w:t>: 563–569.</w:t>
      </w:r>
    </w:p>
    <w:p w14:paraId="4EDB4B45" w14:textId="77777777" w:rsidR="003965C5" w:rsidRPr="003965C5" w:rsidRDefault="003965C5" w:rsidP="003965C5">
      <w:pPr>
        <w:autoSpaceDE w:val="0"/>
        <w:autoSpaceDN w:val="0"/>
        <w:adjustRightInd w:val="0"/>
        <w:rPr>
          <w:rFonts w:ascii="Calibri" w:hAnsi="Calibri" w:cs="Times New Roman"/>
          <w:noProof/>
        </w:rPr>
      </w:pPr>
      <w:r w:rsidRPr="003965C5">
        <w:rPr>
          <w:rFonts w:ascii="Calibri" w:hAnsi="Calibri" w:cs="Times New Roman"/>
          <w:b/>
          <w:bCs/>
          <w:noProof/>
        </w:rPr>
        <w:t>Langmead B, Salzberg SL</w:t>
      </w:r>
      <w:r w:rsidRPr="003965C5">
        <w:rPr>
          <w:rFonts w:ascii="Calibri" w:hAnsi="Calibri" w:cs="Times New Roman"/>
          <w:noProof/>
        </w:rPr>
        <w:t xml:space="preserve">. </w:t>
      </w:r>
      <w:r w:rsidRPr="003965C5">
        <w:rPr>
          <w:rFonts w:ascii="Calibri" w:hAnsi="Calibri" w:cs="Times New Roman"/>
          <w:b/>
          <w:bCs/>
          <w:noProof/>
        </w:rPr>
        <w:t>2012</w:t>
      </w:r>
      <w:r w:rsidRPr="003965C5">
        <w:rPr>
          <w:rFonts w:ascii="Calibri" w:hAnsi="Calibri" w:cs="Times New Roman"/>
          <w:noProof/>
        </w:rPr>
        <w:t xml:space="preserve">. Fast gapped-read alignment with Bowtie 2. </w:t>
      </w:r>
      <w:r w:rsidRPr="003965C5">
        <w:rPr>
          <w:rFonts w:ascii="Calibri" w:hAnsi="Calibri" w:cs="Times New Roman"/>
          <w:i/>
          <w:iCs/>
          <w:noProof/>
        </w:rPr>
        <w:t>Nat Methods</w:t>
      </w:r>
      <w:r w:rsidRPr="003965C5">
        <w:rPr>
          <w:rFonts w:ascii="Calibri" w:hAnsi="Calibri" w:cs="Times New Roman"/>
          <w:noProof/>
        </w:rPr>
        <w:t xml:space="preserve"> </w:t>
      </w:r>
      <w:r w:rsidRPr="003965C5">
        <w:rPr>
          <w:rFonts w:ascii="Calibri" w:hAnsi="Calibri" w:cs="Times New Roman"/>
          <w:b/>
          <w:bCs/>
          <w:noProof/>
        </w:rPr>
        <w:t>9</w:t>
      </w:r>
      <w:r w:rsidRPr="003965C5">
        <w:rPr>
          <w:rFonts w:ascii="Calibri" w:hAnsi="Calibri" w:cs="Times New Roman"/>
          <w:noProof/>
        </w:rPr>
        <w:t>: 357–359.</w:t>
      </w:r>
    </w:p>
    <w:p w14:paraId="4DE3833D" w14:textId="77777777" w:rsidR="003965C5" w:rsidRPr="003965C5" w:rsidRDefault="003965C5" w:rsidP="003965C5">
      <w:pPr>
        <w:autoSpaceDE w:val="0"/>
        <w:autoSpaceDN w:val="0"/>
        <w:adjustRightInd w:val="0"/>
        <w:rPr>
          <w:rFonts w:ascii="Calibri" w:hAnsi="Calibri" w:cs="Times New Roman"/>
          <w:noProof/>
        </w:rPr>
      </w:pPr>
      <w:r w:rsidRPr="003965C5">
        <w:rPr>
          <w:rFonts w:ascii="Calibri" w:hAnsi="Calibri" w:cs="Times New Roman"/>
          <w:b/>
          <w:bCs/>
          <w:noProof/>
        </w:rPr>
        <w:t>Li H</w:t>
      </w:r>
      <w:r w:rsidRPr="003965C5">
        <w:rPr>
          <w:rFonts w:ascii="Calibri" w:hAnsi="Calibri" w:cs="Times New Roman"/>
          <w:noProof/>
        </w:rPr>
        <w:t xml:space="preserve">. </w:t>
      </w:r>
      <w:r w:rsidRPr="003965C5">
        <w:rPr>
          <w:rFonts w:ascii="Calibri" w:hAnsi="Calibri" w:cs="Times New Roman"/>
          <w:b/>
          <w:bCs/>
          <w:noProof/>
        </w:rPr>
        <w:t>2011</w:t>
      </w:r>
      <w:r w:rsidRPr="003965C5">
        <w:rPr>
          <w:rFonts w:ascii="Calibri" w:hAnsi="Calibri" w:cs="Times New Roman"/>
          <w:noProof/>
        </w:rPr>
        <w:t xml:space="preserve">. A statistical framework for SNP calling, mutation discovery, association mapping and population genetical parameter estimation from sequencing data. </w:t>
      </w:r>
      <w:r w:rsidRPr="003965C5">
        <w:rPr>
          <w:rFonts w:ascii="Calibri" w:hAnsi="Calibri" w:cs="Times New Roman"/>
          <w:i/>
          <w:iCs/>
          <w:noProof/>
        </w:rPr>
        <w:t>Bioinformatics</w:t>
      </w:r>
      <w:r w:rsidRPr="003965C5">
        <w:rPr>
          <w:rFonts w:ascii="Calibri" w:hAnsi="Calibri" w:cs="Times New Roman"/>
          <w:noProof/>
        </w:rPr>
        <w:t xml:space="preserve"> </w:t>
      </w:r>
      <w:r w:rsidRPr="003965C5">
        <w:rPr>
          <w:rFonts w:ascii="Calibri" w:hAnsi="Calibri" w:cs="Times New Roman"/>
          <w:b/>
          <w:bCs/>
          <w:noProof/>
        </w:rPr>
        <w:t>27</w:t>
      </w:r>
      <w:r w:rsidRPr="003965C5">
        <w:rPr>
          <w:rFonts w:ascii="Calibri" w:hAnsi="Calibri" w:cs="Times New Roman"/>
          <w:noProof/>
        </w:rPr>
        <w:t>: 2987–2993.</w:t>
      </w:r>
    </w:p>
    <w:p w14:paraId="2C2E8797" w14:textId="77777777" w:rsidR="003965C5" w:rsidRPr="003965C5" w:rsidRDefault="003965C5" w:rsidP="003965C5">
      <w:pPr>
        <w:autoSpaceDE w:val="0"/>
        <w:autoSpaceDN w:val="0"/>
        <w:adjustRightInd w:val="0"/>
        <w:rPr>
          <w:rFonts w:ascii="Calibri" w:hAnsi="Calibri" w:cs="Times New Roman"/>
          <w:noProof/>
        </w:rPr>
      </w:pPr>
      <w:r w:rsidRPr="003965C5">
        <w:rPr>
          <w:rFonts w:ascii="Calibri" w:hAnsi="Calibri" w:cs="Times New Roman"/>
          <w:b/>
          <w:bCs/>
          <w:noProof/>
        </w:rPr>
        <w:t>Plissonneau C, Stürchler A</w:t>
      </w:r>
      <w:r w:rsidRPr="003965C5">
        <w:rPr>
          <w:rFonts w:ascii="Calibri" w:hAnsi="Calibri" w:cs="Times New Roman"/>
          <w:noProof/>
        </w:rPr>
        <w:t xml:space="preserve">. </w:t>
      </w:r>
      <w:r w:rsidRPr="003965C5">
        <w:rPr>
          <w:rFonts w:ascii="Calibri" w:hAnsi="Calibri" w:cs="Times New Roman"/>
          <w:b/>
          <w:bCs/>
          <w:noProof/>
        </w:rPr>
        <w:t>2016</w:t>
      </w:r>
      <w:r w:rsidRPr="003965C5">
        <w:rPr>
          <w:rFonts w:ascii="Calibri" w:hAnsi="Calibri" w:cs="Times New Roman"/>
          <w:noProof/>
        </w:rPr>
        <w:t xml:space="preserve">. The Evolution of Orphan Regions in Genomes of a Fungal Pathogen of Wheat. </w:t>
      </w:r>
      <w:r w:rsidRPr="003965C5">
        <w:rPr>
          <w:rFonts w:ascii="Calibri" w:hAnsi="Calibri" w:cs="Times New Roman"/>
          <w:i/>
          <w:iCs/>
          <w:noProof/>
        </w:rPr>
        <w:t>M Bio</w:t>
      </w:r>
      <w:r w:rsidRPr="003965C5">
        <w:rPr>
          <w:rFonts w:ascii="Calibri" w:hAnsi="Calibri" w:cs="Times New Roman"/>
          <w:noProof/>
        </w:rPr>
        <w:t xml:space="preserve"> </w:t>
      </w:r>
      <w:r w:rsidRPr="003965C5">
        <w:rPr>
          <w:rFonts w:ascii="Calibri" w:hAnsi="Calibri" w:cs="Times New Roman"/>
          <w:b/>
          <w:bCs/>
          <w:noProof/>
        </w:rPr>
        <w:t>7</w:t>
      </w:r>
      <w:r w:rsidRPr="003965C5">
        <w:rPr>
          <w:rFonts w:ascii="Calibri" w:hAnsi="Calibri" w:cs="Times New Roman"/>
          <w:noProof/>
        </w:rPr>
        <w:t>: e01231-16.</w:t>
      </w:r>
    </w:p>
    <w:p w14:paraId="101469D3" w14:textId="77777777" w:rsidR="003965C5" w:rsidRPr="003965C5" w:rsidRDefault="003965C5" w:rsidP="003965C5">
      <w:pPr>
        <w:autoSpaceDE w:val="0"/>
        <w:autoSpaceDN w:val="0"/>
        <w:adjustRightInd w:val="0"/>
        <w:rPr>
          <w:rFonts w:ascii="Calibri" w:hAnsi="Calibri"/>
          <w:noProof/>
        </w:rPr>
      </w:pPr>
      <w:r w:rsidRPr="003965C5">
        <w:rPr>
          <w:rFonts w:ascii="Calibri" w:hAnsi="Calibri" w:cs="Times New Roman"/>
          <w:b/>
          <w:bCs/>
          <w:noProof/>
        </w:rPr>
        <w:t>Ramírez F, Ryan DP, Grüning B, Bhardwaj V, Kilpert F, Richter AS, Heyne S, Dündar F, Manke T</w:t>
      </w:r>
      <w:r w:rsidRPr="003965C5">
        <w:rPr>
          <w:rFonts w:ascii="Calibri" w:hAnsi="Calibri" w:cs="Times New Roman"/>
          <w:noProof/>
        </w:rPr>
        <w:t xml:space="preserve">. </w:t>
      </w:r>
      <w:r w:rsidRPr="003965C5">
        <w:rPr>
          <w:rFonts w:ascii="Calibri" w:hAnsi="Calibri" w:cs="Times New Roman"/>
          <w:b/>
          <w:bCs/>
          <w:noProof/>
        </w:rPr>
        <w:t>2016</w:t>
      </w:r>
      <w:r w:rsidRPr="003965C5">
        <w:rPr>
          <w:rFonts w:ascii="Calibri" w:hAnsi="Calibri" w:cs="Times New Roman"/>
          <w:noProof/>
        </w:rPr>
        <w:t xml:space="preserve">. deepTools2: a next generation web server for deep-sequencing data analysis. </w:t>
      </w:r>
      <w:r w:rsidRPr="003965C5">
        <w:rPr>
          <w:rFonts w:ascii="Calibri" w:hAnsi="Calibri" w:cs="Times New Roman"/>
          <w:i/>
          <w:iCs/>
          <w:noProof/>
        </w:rPr>
        <w:t>Nucleic acids research</w:t>
      </w:r>
      <w:r w:rsidRPr="003965C5">
        <w:rPr>
          <w:rFonts w:ascii="Calibri" w:hAnsi="Calibri" w:cs="Times New Roman"/>
          <w:noProof/>
        </w:rPr>
        <w:t xml:space="preserve"> </w:t>
      </w:r>
      <w:r w:rsidRPr="003965C5">
        <w:rPr>
          <w:rFonts w:ascii="Calibri" w:hAnsi="Calibri" w:cs="Times New Roman"/>
          <w:b/>
          <w:bCs/>
          <w:noProof/>
        </w:rPr>
        <w:t>44</w:t>
      </w:r>
      <w:r w:rsidRPr="003965C5">
        <w:rPr>
          <w:rFonts w:ascii="Calibri" w:hAnsi="Calibri" w:cs="Times New Roman"/>
          <w:noProof/>
        </w:rPr>
        <w:t>: W160–W165.</w:t>
      </w:r>
    </w:p>
    <w:p w14:paraId="237E94FB" w14:textId="6AAD5336" w:rsidR="003965C5" w:rsidRPr="003965C5" w:rsidRDefault="003965C5">
      <w:pPr>
        <w:rPr>
          <w:rFonts w:asciiTheme="minorHAnsi" w:hAnsiTheme="minorHAnsi"/>
        </w:rPr>
      </w:pPr>
      <w:r>
        <w:rPr>
          <w:rFonts w:asciiTheme="minorHAnsi" w:hAnsiTheme="minorHAnsi"/>
        </w:rPr>
        <w:fldChar w:fldCharType="end"/>
      </w:r>
    </w:p>
    <w:sectPr w:rsidR="003965C5" w:rsidRPr="003965C5" w:rsidSect="00C33A41">
      <w:pgSz w:w="11906" w:h="16837" w:code="9"/>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panose1 w:val="020B0604020202020204"/>
    <w:charset w:val="01"/>
    <w:family w:val="roman"/>
    <w:pitch w:val="variable"/>
  </w:font>
  <w:font w:name="Droid Sans Fallback">
    <w:altName w:val="Cambria"/>
    <w:panose1 w:val="020B0604020202020204"/>
    <w:charset w:val="00"/>
    <w:family w:val="roman"/>
    <w:notTrueType/>
    <w:pitch w:val="default"/>
  </w:font>
  <w:font w:name="FreeSans">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5C5"/>
    <w:rsid w:val="003965C5"/>
    <w:rsid w:val="00C33A41"/>
    <w:rsid w:val="00DD5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90C23"/>
  <w15:chartTrackingRefBased/>
  <w15:docId w15:val="{FE804E15-0C57-1244-8655-70AB7C987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965C5"/>
    <w:pPr>
      <w:widowControl w:val="0"/>
      <w:suppressAutoHyphens/>
    </w:pPr>
    <w:rPr>
      <w:rFonts w:ascii="Liberation Serif" w:eastAsia="Droid Sans Fallback" w:hAnsi="Liberation Serif" w:cs="FreeSans"/>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65C5"/>
    <w:pPr>
      <w:widowControl/>
      <w:suppressAutoHyphens w:val="0"/>
      <w:spacing w:before="100" w:beforeAutospacing="1" w:after="100" w:afterAutospacing="1"/>
    </w:pPr>
    <w:rPr>
      <w:rFonts w:ascii="Times New Roman" w:eastAsia="Times New Roman" w:hAnsi="Times New Roman" w:cs="Times New Roman"/>
      <w:lang w:eastAsia="en-US" w:bidi="ar-SA"/>
    </w:rPr>
  </w:style>
  <w:style w:type="character" w:styleId="LineNumber">
    <w:name w:val="line number"/>
    <w:basedOn w:val="DefaultParagraphFont"/>
    <w:uiPriority w:val="99"/>
    <w:semiHidden/>
    <w:unhideWhenUsed/>
    <w:rsid w:val="00C33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758BC-8CF2-6243-A893-86408C3B5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3144</Words>
  <Characters>17926</Characters>
  <Application>Microsoft Office Word</Application>
  <DocSecurity>0</DocSecurity>
  <Lines>149</Lines>
  <Paragraphs>42</Paragraphs>
  <ScaleCrop>false</ScaleCrop>
  <Company/>
  <LinksUpToDate>false</LinksUpToDate>
  <CharactersWithSpaces>21028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Mareike Möller</dc:creator>
  <cp:keywords/>
  <dc:description/>
  <cp:lastModifiedBy>Mareike Möller</cp:lastModifiedBy>
  <cp:revision>2</cp:revision>
  <dcterms:created xsi:type="dcterms:W3CDTF">2018-06-30T11:21:00Z</dcterms:created>
  <dcterms:modified xsi:type="dcterms:W3CDTF">2018-07-01T14:07:00Z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16th edition (author-date)</vt:lpwstr>
  </property>
  <property fmtid="{D5CDD505-2E9C-101B-9397-08002B2CF9AE}" pid="6" name="Mendeley Recent Style Id 2_1">
    <vt:lpwstr>http://www.zotero.org/styles/chicago-fullnote-bibliography</vt:lpwstr>
  </property>
  <property fmtid="{D5CDD505-2E9C-101B-9397-08002B2CF9AE}" pid="7" name="Mendeley Recent Style Name 2_1">
    <vt:lpwstr>Chicago Manual of Style 16th edition (full note)</vt:lpwstr>
  </property>
  <property fmtid="{D5CDD505-2E9C-101B-9397-08002B2CF9AE}" pid="8" name="Mendeley Recent Style Id 3_1">
    <vt:lpwstr>http://www.zotero.org/styles/harvard-cite-them-right</vt:lpwstr>
  </property>
  <property fmtid="{D5CDD505-2E9C-101B-9397-08002B2CF9AE}" pid="9" name="Mendeley Recent Style Name 3_1">
    <vt:lpwstr>Harvard - Cite Them Right 9th edition</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http://www.zotero.org/styles/nature-reviews-microbiology</vt:lpwstr>
  </property>
  <property fmtid="{D5CDD505-2E9C-101B-9397-08002B2CF9AE}" pid="19" name="Mendeley Recent Style Name 8_1">
    <vt:lpwstr>Nature Reviews Microbiology</vt:lpwstr>
  </property>
  <property fmtid="{D5CDD505-2E9C-101B-9397-08002B2CF9AE}" pid="20" name="Mendeley Recent Style Id 9_1">
    <vt:lpwstr>http://www.zotero.org/styles/new-phytologist</vt:lpwstr>
  </property>
  <property fmtid="{D5CDD505-2E9C-101B-9397-08002B2CF9AE}" pid="21" name="Mendeley Recent Style Name 9_1">
    <vt:lpwstr>New Phytologist</vt:lpwstr>
  </property>
  <property fmtid="{D5CDD505-2E9C-101B-9397-08002B2CF9AE}" pid="22" name="Mendeley Document_1">
    <vt:lpwstr>True</vt:lpwstr>
  </property>
  <property fmtid="{D5CDD505-2E9C-101B-9397-08002B2CF9AE}" pid="23" name="Mendeley Unique User Id_1">
    <vt:lpwstr>1c2726a5-1a5d-340b-b62a-6a30d58be9f1</vt:lpwstr>
  </property>
  <property fmtid="{D5CDD505-2E9C-101B-9397-08002B2CF9AE}" pid="24" name="Mendeley Citation Style_1">
    <vt:lpwstr>http://www.zotero.org/styles/new-phytologist</vt:lpwstr>
  </property>
</Properties>
</file>