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D9A46" w14:textId="77777777" w:rsidR="006F4CFD" w:rsidRDefault="002F72EF" w:rsidP="00572EAC">
      <w:pPr>
        <w:pStyle w:val="Subtitle"/>
        <w:spacing w:line="240" w:lineRule="auto"/>
        <w:jc w:val="left"/>
        <w:rPr>
          <w:b/>
          <w:sz w:val="28"/>
          <w:szCs w:val="28"/>
        </w:rPr>
      </w:pPr>
      <w:r>
        <w:rPr>
          <w:b/>
          <w:sz w:val="28"/>
          <w:szCs w:val="28"/>
        </w:rPr>
        <w:t>Mapping and sequencing of a significant quantitative trait</w:t>
      </w:r>
      <w:r w:rsidR="00C27A44">
        <w:rPr>
          <w:b/>
          <w:sz w:val="28"/>
          <w:szCs w:val="28"/>
        </w:rPr>
        <w:t xml:space="preserve"> locus affecting resistance to K</w:t>
      </w:r>
      <w:r>
        <w:rPr>
          <w:b/>
          <w:sz w:val="28"/>
          <w:szCs w:val="28"/>
        </w:rPr>
        <w:t>oi herpesvirus in common carp</w:t>
      </w:r>
    </w:p>
    <w:p w14:paraId="65846391" w14:textId="77777777" w:rsidR="00572EAC" w:rsidRPr="006B4EA8" w:rsidRDefault="00572EAC" w:rsidP="00572EAC">
      <w:pPr>
        <w:pStyle w:val="Subtitle"/>
        <w:spacing w:line="240" w:lineRule="auto"/>
        <w:jc w:val="left"/>
      </w:pPr>
      <w:r w:rsidRPr="006B4EA8">
        <w:t>Christos Palaiokostas</w:t>
      </w:r>
      <w:r w:rsidRPr="006B4EA8">
        <w:rPr>
          <w:vertAlign w:val="superscript"/>
        </w:rPr>
        <w:t>1</w:t>
      </w:r>
      <w:r w:rsidRPr="006B4EA8">
        <w:t>,</w:t>
      </w:r>
      <w:r>
        <w:t xml:space="preserve"> </w:t>
      </w:r>
      <w:r w:rsidR="00174BBA">
        <w:t xml:space="preserve">Diego </w:t>
      </w:r>
      <w:r w:rsidR="00174BBA" w:rsidRPr="00174BBA">
        <w:t>Robledo</w:t>
      </w:r>
      <w:r w:rsidR="00174BBA" w:rsidRPr="00174BBA">
        <w:rPr>
          <w:vertAlign w:val="superscript"/>
        </w:rPr>
        <w:t>1</w:t>
      </w:r>
      <w:r w:rsidR="00174BBA">
        <w:t>,</w:t>
      </w:r>
      <w:r w:rsidR="002F72EF">
        <w:t xml:space="preserve"> </w:t>
      </w:r>
      <w:r w:rsidRPr="00174BBA">
        <w:t>Tomas</w:t>
      </w:r>
      <w:r w:rsidR="002F72EF">
        <w:t xml:space="preserve"> </w:t>
      </w:r>
      <w:r w:rsidRPr="00F812A2">
        <w:t>Vesely</w:t>
      </w:r>
      <w:r w:rsidRPr="00F812A2">
        <w:rPr>
          <w:vertAlign w:val="superscript"/>
        </w:rPr>
        <w:t>3</w:t>
      </w:r>
      <w:r>
        <w:t xml:space="preserve">, </w:t>
      </w:r>
      <w:r w:rsidRPr="00F812A2">
        <w:t>Martin</w:t>
      </w:r>
      <w:r>
        <w:t xml:space="preserve"> Kocour</w:t>
      </w:r>
      <w:r>
        <w:rPr>
          <w:vertAlign w:val="superscript"/>
        </w:rPr>
        <w:t>2</w:t>
      </w:r>
      <w:r>
        <w:t>, Martin Prchal</w:t>
      </w:r>
      <w:r>
        <w:rPr>
          <w:vertAlign w:val="superscript"/>
        </w:rPr>
        <w:t>2</w:t>
      </w:r>
      <w:r>
        <w:t>, Dagmar Pokorova</w:t>
      </w:r>
      <w:r>
        <w:rPr>
          <w:vertAlign w:val="superscript"/>
        </w:rPr>
        <w:t>3</w:t>
      </w:r>
      <w:r>
        <w:t xml:space="preserve">, Veronika </w:t>
      </w:r>
      <w:r w:rsidRPr="00DE10A7">
        <w:t>Piackova</w:t>
      </w:r>
      <w:r w:rsidRPr="00DE10A7">
        <w:rPr>
          <w:vertAlign w:val="superscript"/>
        </w:rPr>
        <w:t>2</w:t>
      </w:r>
      <w:r>
        <w:t xml:space="preserve">, </w:t>
      </w:r>
      <w:r w:rsidRPr="00DE10A7">
        <w:t>Lubomir</w:t>
      </w:r>
      <w:r>
        <w:t xml:space="preserve"> Pojezdal</w:t>
      </w:r>
      <w:r>
        <w:rPr>
          <w:vertAlign w:val="superscript"/>
        </w:rPr>
        <w:t>3</w:t>
      </w:r>
      <w:r>
        <w:t>, R</w:t>
      </w:r>
      <w:r w:rsidRPr="006B4EA8">
        <w:t xml:space="preserve">oss </w:t>
      </w:r>
      <w:r w:rsidR="003A4FBA">
        <w:t xml:space="preserve">D. </w:t>
      </w:r>
      <w:r w:rsidRPr="006B4EA8">
        <w:t>Houston</w:t>
      </w:r>
      <w:r w:rsidRPr="006B4EA8">
        <w:rPr>
          <w:vertAlign w:val="superscript"/>
        </w:rPr>
        <w:t>1</w:t>
      </w:r>
      <w:r w:rsidR="004A7B49">
        <w:rPr>
          <w:vertAlign w:val="superscript"/>
        </w:rPr>
        <w:t>*</w:t>
      </w:r>
      <w:r w:rsidRPr="006B4EA8">
        <w:t xml:space="preserve">    </w:t>
      </w:r>
    </w:p>
    <w:p w14:paraId="22ECA07F" w14:textId="77777777" w:rsidR="00572EAC" w:rsidRDefault="00572EAC" w:rsidP="00572EAC">
      <w:pPr>
        <w:pStyle w:val="BodyText"/>
        <w:spacing w:before="100" w:beforeAutospacing="1" w:after="100" w:afterAutospacing="1" w:line="240" w:lineRule="auto"/>
        <w:jc w:val="left"/>
        <w:rPr>
          <w:rFonts w:eastAsia="MS Mincho"/>
          <w:sz w:val="18"/>
          <w:szCs w:val="18"/>
          <w:lang w:val="en-US"/>
        </w:rPr>
      </w:pPr>
      <w:r w:rsidRPr="006B4EA8">
        <w:rPr>
          <w:sz w:val="18"/>
          <w:szCs w:val="18"/>
          <w:vertAlign w:val="superscript"/>
        </w:rPr>
        <w:t>1</w:t>
      </w:r>
      <w:r w:rsidRPr="006B4EA8">
        <w:rPr>
          <w:sz w:val="18"/>
          <w:szCs w:val="18"/>
        </w:rPr>
        <w:t> </w:t>
      </w:r>
      <w:r w:rsidRPr="006B4EA8">
        <w:rPr>
          <w:rFonts w:eastAsia="MS Mincho"/>
          <w:sz w:val="18"/>
          <w:szCs w:val="18"/>
          <w:lang w:val="en-US"/>
        </w:rPr>
        <w:t xml:space="preserve">The Roslin Institute, Royal (Dick) School of Veterinary Studies, University of Edinburgh, Easter Bush, Midlothian, EH25 9RG, Scotland, United Kingdom   </w:t>
      </w:r>
    </w:p>
    <w:p w14:paraId="6AD5F469" w14:textId="77777777" w:rsidR="00572EAC" w:rsidRDefault="00572EAC" w:rsidP="00572EAC">
      <w:pPr>
        <w:pStyle w:val="BodyText"/>
        <w:spacing w:before="100" w:beforeAutospacing="1" w:after="100" w:afterAutospacing="1" w:line="240" w:lineRule="auto"/>
        <w:rPr>
          <w:rFonts w:eastAsiaTheme="minorHAnsi"/>
          <w:sz w:val="18"/>
          <w:szCs w:val="18"/>
          <w:lang w:val="en-US"/>
        </w:rPr>
      </w:pPr>
      <w:r>
        <w:rPr>
          <w:rFonts w:eastAsia="MS Mincho"/>
          <w:sz w:val="18"/>
          <w:szCs w:val="18"/>
          <w:vertAlign w:val="superscript"/>
          <w:lang w:val="en-US"/>
        </w:rPr>
        <w:t xml:space="preserve">2 </w:t>
      </w:r>
      <w:r>
        <w:rPr>
          <w:rFonts w:eastAsiaTheme="minorHAnsi"/>
          <w:sz w:val="18"/>
          <w:szCs w:val="18"/>
          <w:lang w:val="en-US"/>
        </w:rPr>
        <w:t xml:space="preserve">University of South Bohemia in Ceske Budejovice, </w:t>
      </w:r>
      <w:r w:rsidRPr="00651FEC">
        <w:rPr>
          <w:rFonts w:eastAsiaTheme="minorHAnsi"/>
          <w:sz w:val="18"/>
          <w:szCs w:val="18"/>
          <w:lang w:val="en-US"/>
        </w:rPr>
        <w:t>Faculty of Fisheries and Protection of Waters</w:t>
      </w:r>
      <w:r>
        <w:rPr>
          <w:rFonts w:eastAsiaTheme="minorHAnsi"/>
          <w:sz w:val="18"/>
          <w:szCs w:val="18"/>
          <w:lang w:val="en-US"/>
        </w:rPr>
        <w:t xml:space="preserve">, </w:t>
      </w:r>
      <w:r w:rsidRPr="00651FEC">
        <w:rPr>
          <w:rFonts w:eastAsiaTheme="minorHAnsi"/>
          <w:sz w:val="18"/>
          <w:szCs w:val="18"/>
          <w:lang w:val="en-US"/>
        </w:rPr>
        <w:t>South</w:t>
      </w:r>
      <w:r>
        <w:rPr>
          <w:rFonts w:eastAsiaTheme="minorHAnsi"/>
          <w:sz w:val="18"/>
          <w:szCs w:val="18"/>
          <w:lang w:val="en-US"/>
        </w:rPr>
        <w:t xml:space="preserve"> </w:t>
      </w:r>
      <w:r w:rsidRPr="00651FEC">
        <w:rPr>
          <w:rFonts w:eastAsiaTheme="minorHAnsi"/>
          <w:sz w:val="18"/>
          <w:szCs w:val="18"/>
          <w:lang w:val="en-US"/>
        </w:rPr>
        <w:t>Bohemian Research Centre of Aquaculture and Biodiversity of Hydrocenoses,</w:t>
      </w:r>
      <w:r>
        <w:rPr>
          <w:rFonts w:eastAsiaTheme="minorHAnsi"/>
          <w:sz w:val="18"/>
          <w:szCs w:val="18"/>
          <w:lang w:val="en-US"/>
        </w:rPr>
        <w:t xml:space="preserve"> </w:t>
      </w:r>
      <w:r w:rsidRPr="00651FEC">
        <w:rPr>
          <w:rFonts w:eastAsiaTheme="minorHAnsi"/>
          <w:sz w:val="18"/>
          <w:szCs w:val="18"/>
          <w:lang w:val="en-US"/>
        </w:rPr>
        <w:t>Zatisi 728/II, 389 25 Vodnany, Czech Republic</w:t>
      </w:r>
    </w:p>
    <w:p w14:paraId="2D0E5CE7" w14:textId="77777777" w:rsidR="00572EAC" w:rsidRPr="00961775" w:rsidRDefault="00572EAC" w:rsidP="00572EAC">
      <w:pPr>
        <w:pStyle w:val="BodyText"/>
        <w:spacing w:before="100" w:beforeAutospacing="1" w:after="100" w:afterAutospacing="1"/>
        <w:rPr>
          <w:rFonts w:eastAsia="MS Mincho"/>
          <w:sz w:val="18"/>
          <w:szCs w:val="18"/>
          <w:lang w:val="en-US"/>
        </w:rPr>
      </w:pPr>
      <w:r w:rsidRPr="00651FEC">
        <w:rPr>
          <w:rFonts w:eastAsia="MS Mincho"/>
          <w:sz w:val="18"/>
          <w:szCs w:val="18"/>
          <w:vertAlign w:val="superscript"/>
          <w:lang w:val="en-US"/>
        </w:rPr>
        <w:t>3</w:t>
      </w:r>
      <w:r>
        <w:rPr>
          <w:rFonts w:eastAsia="MS Mincho"/>
          <w:sz w:val="18"/>
          <w:szCs w:val="18"/>
          <w:vertAlign w:val="superscript"/>
          <w:lang w:val="en-US"/>
        </w:rPr>
        <w:t xml:space="preserve"> </w:t>
      </w:r>
      <w:r w:rsidRPr="00651FEC">
        <w:rPr>
          <w:rFonts w:eastAsia="MS Mincho"/>
          <w:sz w:val="18"/>
          <w:szCs w:val="18"/>
          <w:lang w:val="en-US"/>
        </w:rPr>
        <w:t>Vet</w:t>
      </w:r>
      <w:r>
        <w:rPr>
          <w:rFonts w:eastAsia="MS Mincho"/>
          <w:sz w:val="18"/>
          <w:szCs w:val="18"/>
          <w:lang w:val="en-US"/>
        </w:rPr>
        <w:t>erinary Research I</w:t>
      </w:r>
      <w:r w:rsidRPr="00651FEC">
        <w:rPr>
          <w:rFonts w:eastAsia="MS Mincho"/>
          <w:sz w:val="18"/>
          <w:szCs w:val="18"/>
          <w:lang w:val="en-US"/>
        </w:rPr>
        <w:t>nst</w:t>
      </w:r>
      <w:r>
        <w:rPr>
          <w:rFonts w:eastAsia="MS Mincho"/>
          <w:sz w:val="18"/>
          <w:szCs w:val="18"/>
          <w:lang w:val="en-US"/>
        </w:rPr>
        <w:t>itute</w:t>
      </w:r>
      <w:r w:rsidRPr="00651FEC">
        <w:rPr>
          <w:rFonts w:eastAsia="MS Mincho"/>
          <w:sz w:val="18"/>
          <w:szCs w:val="18"/>
          <w:lang w:val="en-US"/>
        </w:rPr>
        <w:t xml:space="preserve">, </w:t>
      </w:r>
      <w:r w:rsidRPr="00732575">
        <w:rPr>
          <w:rFonts w:eastAsia="MS Mincho"/>
          <w:sz w:val="18"/>
          <w:szCs w:val="18"/>
          <w:lang w:val="en-US"/>
        </w:rPr>
        <w:t>Hudcova 70, Brno 62100, Czech Republic</w:t>
      </w:r>
    </w:p>
    <w:p w14:paraId="1B0ECE08" w14:textId="77777777" w:rsidR="00F2280F" w:rsidRDefault="00F2280F" w:rsidP="005B7461">
      <w:pPr>
        <w:jc w:val="both"/>
      </w:pPr>
    </w:p>
    <w:p w14:paraId="2202C0A8" w14:textId="77777777" w:rsidR="00DE0332" w:rsidRDefault="00DE0332" w:rsidP="005B7461">
      <w:pPr>
        <w:jc w:val="both"/>
      </w:pPr>
    </w:p>
    <w:p w14:paraId="5EA5A5E6" w14:textId="77777777" w:rsidR="00210D57" w:rsidRPr="005B7461" w:rsidRDefault="00210D57" w:rsidP="00E76B1C">
      <w:pPr>
        <w:outlineLvl w:val="0"/>
        <w:rPr>
          <w:sz w:val="28"/>
          <w:szCs w:val="28"/>
        </w:rPr>
      </w:pPr>
      <w:r w:rsidRPr="005B7461">
        <w:rPr>
          <w:sz w:val="28"/>
          <w:szCs w:val="28"/>
        </w:rPr>
        <w:t>Abstract</w:t>
      </w:r>
    </w:p>
    <w:p w14:paraId="13DA6397" w14:textId="77777777" w:rsidR="00210D57" w:rsidRDefault="00210D57"/>
    <w:p w14:paraId="3C2B5513" w14:textId="77777777" w:rsidR="00210D57" w:rsidRDefault="00210D57"/>
    <w:p w14:paraId="656B7CBD" w14:textId="198642BB" w:rsidR="00910BB3" w:rsidRDefault="00E76B1C" w:rsidP="00843430">
      <w:pPr>
        <w:spacing w:line="480" w:lineRule="auto"/>
        <w:jc w:val="both"/>
        <w:rPr>
          <w:rFonts w:eastAsia="Times New Roman"/>
        </w:rPr>
      </w:pPr>
      <w:r w:rsidRPr="007D3C49">
        <w:t>Cyprinids</w:t>
      </w:r>
      <w:r w:rsidR="00EB6096">
        <w:t xml:space="preserve"> are the most highly produced group of fishes globally</w:t>
      </w:r>
      <w:r w:rsidRPr="007D3C49">
        <w:t xml:space="preserve">, with common carp being one of the most valuable species of the group. </w:t>
      </w:r>
      <w:r w:rsidRPr="007D3C49">
        <w:rPr>
          <w:bCs/>
        </w:rPr>
        <w:t xml:space="preserve">Koi </w:t>
      </w:r>
      <w:r w:rsidR="00A37A92">
        <w:rPr>
          <w:bCs/>
        </w:rPr>
        <w:t>h</w:t>
      </w:r>
      <w:r w:rsidR="0089478C" w:rsidRPr="007D3C49">
        <w:rPr>
          <w:bCs/>
        </w:rPr>
        <w:t>erpesvirus</w:t>
      </w:r>
      <w:r w:rsidRPr="007D3C49">
        <w:rPr>
          <w:bCs/>
        </w:rPr>
        <w:t xml:space="preserve"> (KHV) </w:t>
      </w:r>
      <w:r w:rsidR="00134E39">
        <w:rPr>
          <w:bCs/>
        </w:rPr>
        <w:t xml:space="preserve">infections </w:t>
      </w:r>
      <w:r w:rsidR="00F97BFB" w:rsidRPr="007D3C49">
        <w:rPr>
          <w:bCs/>
        </w:rPr>
        <w:t xml:space="preserve">can </w:t>
      </w:r>
      <w:r w:rsidR="00134E39">
        <w:rPr>
          <w:bCs/>
        </w:rPr>
        <w:t>result in</w:t>
      </w:r>
      <w:r w:rsidR="00134E39" w:rsidRPr="007D3C49">
        <w:rPr>
          <w:bCs/>
        </w:rPr>
        <w:t xml:space="preserve"> </w:t>
      </w:r>
      <w:r w:rsidR="00134E39">
        <w:rPr>
          <w:bCs/>
        </w:rPr>
        <w:t xml:space="preserve">high levels of mortality, causing </w:t>
      </w:r>
      <w:r w:rsidRPr="007D3C49">
        <w:rPr>
          <w:bCs/>
        </w:rPr>
        <w:t>major economic losses</w:t>
      </w:r>
      <w:r w:rsidR="00F97BFB" w:rsidRPr="007D3C49">
        <w:rPr>
          <w:bCs/>
        </w:rPr>
        <w:t xml:space="preserve">, and is listed </w:t>
      </w:r>
      <w:r w:rsidR="00075906" w:rsidRPr="007D3C49">
        <w:rPr>
          <w:bCs/>
        </w:rPr>
        <w:t xml:space="preserve">as </w:t>
      </w:r>
      <w:r w:rsidR="004856A1" w:rsidRPr="007D3C49">
        <w:rPr>
          <w:bCs/>
        </w:rPr>
        <w:t xml:space="preserve">a </w:t>
      </w:r>
      <w:r w:rsidR="00075906" w:rsidRPr="007D3C49">
        <w:rPr>
          <w:bCs/>
        </w:rPr>
        <w:t>notifiable disease</w:t>
      </w:r>
      <w:r w:rsidR="004856A1" w:rsidRPr="007D3C49">
        <w:rPr>
          <w:bCs/>
        </w:rPr>
        <w:t xml:space="preserve"> by the World Organisation for Animal Health</w:t>
      </w:r>
      <w:r w:rsidR="00075906" w:rsidRPr="007D3C49">
        <w:rPr>
          <w:bCs/>
        </w:rPr>
        <w:t>. S</w:t>
      </w:r>
      <w:r w:rsidRPr="007D3C49">
        <w:rPr>
          <w:bCs/>
        </w:rPr>
        <w:t xml:space="preserve">elective breeding for host resistance has the potential to </w:t>
      </w:r>
      <w:r w:rsidR="004856A1" w:rsidRPr="007D3C49">
        <w:rPr>
          <w:bCs/>
        </w:rPr>
        <w:t>reduce morbidity and losses due to KHV</w:t>
      </w:r>
      <w:r w:rsidRPr="007D3C49">
        <w:rPr>
          <w:bCs/>
        </w:rPr>
        <w:t xml:space="preserve">. </w:t>
      </w:r>
      <w:r w:rsidR="00A37A92" w:rsidRPr="00E76B1C">
        <w:rPr>
          <w:bCs/>
        </w:rPr>
        <w:t xml:space="preserve">Therefore, improving knowledge about </w:t>
      </w:r>
      <w:r w:rsidR="00A37A92">
        <w:rPr>
          <w:bCs/>
        </w:rPr>
        <w:t xml:space="preserve">host resistance and methods of incorporating genomic data into breeding for resistance </w:t>
      </w:r>
      <w:r w:rsidR="00A37A92" w:rsidRPr="00E76B1C">
        <w:rPr>
          <w:bCs/>
        </w:rPr>
        <w:t>may contribute to a decre</w:t>
      </w:r>
      <w:r w:rsidR="00A37A92">
        <w:rPr>
          <w:bCs/>
        </w:rPr>
        <w:t>a</w:t>
      </w:r>
      <w:r w:rsidR="00A37A92" w:rsidRPr="00E76B1C">
        <w:rPr>
          <w:bCs/>
        </w:rPr>
        <w:t xml:space="preserve">se in </w:t>
      </w:r>
      <w:r w:rsidR="00A37A92">
        <w:rPr>
          <w:bCs/>
        </w:rPr>
        <w:t>economic losses in carp farming</w:t>
      </w:r>
      <w:r w:rsidR="00FC54B7" w:rsidRPr="007D3C49">
        <w:rPr>
          <w:bCs/>
        </w:rPr>
        <w:t xml:space="preserve">. </w:t>
      </w:r>
      <w:r w:rsidR="00C86A87" w:rsidRPr="007D3C49">
        <w:t xml:space="preserve">In the current study, a population of </w:t>
      </w:r>
      <w:r w:rsidRPr="007D3C49">
        <w:t>1,425</w:t>
      </w:r>
      <w:r w:rsidR="00C86A87" w:rsidRPr="007D3C49">
        <w:t xml:space="preserve"> </w:t>
      </w:r>
      <w:r w:rsidRPr="007D3C49">
        <w:t>carp</w:t>
      </w:r>
      <w:r w:rsidR="00C86A87" w:rsidRPr="007D3C49">
        <w:t xml:space="preserve"> juveniles, originating from a factorial cross between 4</w:t>
      </w:r>
      <w:r w:rsidR="003A318B" w:rsidRPr="007D3C49">
        <w:t>0 sires and 20</w:t>
      </w:r>
      <w:r w:rsidR="00C86A87" w:rsidRPr="007D3C49">
        <w:t xml:space="preserve"> dams was challenged with </w:t>
      </w:r>
      <w:r w:rsidRPr="007D3C49">
        <w:t>KHV</w:t>
      </w:r>
      <w:r w:rsidR="00C86A87" w:rsidRPr="007D3C49">
        <w:t>. Mortalities and survivors were recorded and sampled for genotyping by sequencing</w:t>
      </w:r>
      <w:r w:rsidR="00A37A92">
        <w:t xml:space="preserve"> using </w:t>
      </w:r>
      <w:r w:rsidR="002F72EF">
        <w:t>Restriction Site-Associated DNA sequencing (RADSeq)</w:t>
      </w:r>
      <w:r w:rsidR="00A37A92">
        <w:t>.</w:t>
      </w:r>
      <w:r w:rsidR="002F72EF">
        <w:t xml:space="preserve"> Genome-wide association analyses were performed </w:t>
      </w:r>
      <w:r w:rsidR="00F97BFB" w:rsidRPr="007D3C49">
        <w:t xml:space="preserve">to </w:t>
      </w:r>
      <w:r w:rsidR="002F72EF">
        <w:t xml:space="preserve">investigate the genetic </w:t>
      </w:r>
      <w:r w:rsidR="005E45D3">
        <w:t>architecture</w:t>
      </w:r>
      <w:r w:rsidR="005E45D3" w:rsidRPr="007D3C49">
        <w:t xml:space="preserve"> </w:t>
      </w:r>
      <w:r w:rsidR="00F97BFB" w:rsidRPr="007D3C49">
        <w:t xml:space="preserve">of </w:t>
      </w:r>
      <w:r w:rsidR="00A40F96" w:rsidRPr="007D3C49">
        <w:t>resistance to KHV</w:t>
      </w:r>
      <w:r w:rsidR="00F97BFB" w:rsidRPr="007D3C49">
        <w:t xml:space="preserve">. </w:t>
      </w:r>
      <w:r w:rsidR="00F30D0F" w:rsidRPr="007D3C49">
        <w:t>A g</w:t>
      </w:r>
      <w:r w:rsidR="00F97BFB" w:rsidRPr="007D3C49">
        <w:t>enome-wide significant QTL affecting resistanc</w:t>
      </w:r>
      <w:r w:rsidR="00843939" w:rsidRPr="007D3C49">
        <w:t xml:space="preserve">e to KHV </w:t>
      </w:r>
      <w:r w:rsidR="00F30D0F" w:rsidRPr="007D3C49">
        <w:t>was</w:t>
      </w:r>
      <w:r w:rsidR="00843939" w:rsidRPr="007D3C49">
        <w:t xml:space="preserve"> identified on</w:t>
      </w:r>
      <w:r w:rsidR="00F33B7A" w:rsidRPr="007D3C49">
        <w:t xml:space="preserve"> linkage group 44</w:t>
      </w:r>
      <w:r w:rsidR="00F30D0F" w:rsidRPr="007D3C49">
        <w:t xml:space="preserve">, explaining </w:t>
      </w:r>
      <w:r w:rsidR="004050F2">
        <w:t>4-</w:t>
      </w:r>
      <w:r w:rsidR="00F30D0F" w:rsidRPr="007D3C49">
        <w:t>14% (model dependent) of the additive genetic variance</w:t>
      </w:r>
      <w:r w:rsidR="00BF5C3C" w:rsidRPr="007D3C49">
        <w:t xml:space="preserve">. </w:t>
      </w:r>
      <w:r w:rsidR="00F30D0F" w:rsidRPr="007D3C49">
        <w:t xml:space="preserve">Pooled whole genome </w:t>
      </w:r>
      <w:r w:rsidR="002F72EF">
        <w:t>re</w:t>
      </w:r>
      <w:r w:rsidR="003F1084" w:rsidRPr="007D3C49">
        <w:t>sequenc</w:t>
      </w:r>
      <w:r w:rsidR="003F1084">
        <w:t>ing</w:t>
      </w:r>
      <w:r w:rsidR="003F1084" w:rsidRPr="007D3C49">
        <w:t xml:space="preserve"> </w:t>
      </w:r>
      <w:r w:rsidR="00F30D0F" w:rsidRPr="007D3C49">
        <w:t>of a subset of resistant (n</w:t>
      </w:r>
      <w:r w:rsidR="002F72EF">
        <w:t xml:space="preserve"> </w:t>
      </w:r>
      <w:r w:rsidR="00F30D0F" w:rsidRPr="007D3C49">
        <w:t>=</w:t>
      </w:r>
      <w:r w:rsidR="002F72EF">
        <w:t xml:space="preserve"> </w:t>
      </w:r>
      <w:r w:rsidR="00342E54">
        <w:t>6</w:t>
      </w:r>
      <w:r w:rsidR="00F30D0F" w:rsidRPr="007D3C49">
        <w:t>0) and susceptible animals (n</w:t>
      </w:r>
      <w:r w:rsidR="002F72EF">
        <w:t xml:space="preserve"> </w:t>
      </w:r>
      <w:r w:rsidR="00F30D0F" w:rsidRPr="007D3C49">
        <w:t>=</w:t>
      </w:r>
      <w:r w:rsidR="002F72EF">
        <w:t xml:space="preserve"> </w:t>
      </w:r>
      <w:r w:rsidR="00342E54">
        <w:t>6</w:t>
      </w:r>
      <w:r w:rsidR="00F30D0F" w:rsidRPr="007D3C49">
        <w:t xml:space="preserve">0) was </w:t>
      </w:r>
      <w:r w:rsidR="00A37A92">
        <w:t xml:space="preserve">performed </w:t>
      </w:r>
      <w:r w:rsidR="008676EC" w:rsidRPr="007D3C49">
        <w:t xml:space="preserve">to </w:t>
      </w:r>
      <w:r w:rsidR="002F72EF">
        <w:t>characterize QTL regions, including identification of putative candidate genes and functional annotation of associated polymorphisms</w:t>
      </w:r>
      <w:r w:rsidR="007D3C49" w:rsidRPr="007D3C49">
        <w:t xml:space="preserve">. </w:t>
      </w:r>
      <w:r w:rsidR="00A33E5B">
        <w:t xml:space="preserve">The TRIM25 gene was identified as a </w:t>
      </w:r>
      <w:r w:rsidR="00A33E5B">
        <w:lastRenderedPageBreak/>
        <w:t>promising positional and functional candidate within the QTL region of LG 44, a</w:t>
      </w:r>
      <w:r w:rsidR="00D61634">
        <w:t>nd a putative</w:t>
      </w:r>
      <w:r w:rsidR="00A33E5B">
        <w:t xml:space="preserve"> premature stop mutation</w:t>
      </w:r>
      <w:r w:rsidR="00D61634">
        <w:t xml:space="preserve"> in this gene was discovered.</w:t>
      </w:r>
    </w:p>
    <w:p w14:paraId="679D3965" w14:textId="77777777" w:rsidR="007D3C49" w:rsidRPr="007D3C49" w:rsidRDefault="007D3C49" w:rsidP="00843430">
      <w:pPr>
        <w:spacing w:line="480" w:lineRule="auto"/>
        <w:jc w:val="both"/>
        <w:rPr>
          <w:rFonts w:eastAsia="Times New Roman"/>
        </w:rPr>
      </w:pPr>
    </w:p>
    <w:p w14:paraId="15AFD69F" w14:textId="77777777" w:rsidR="00210D57" w:rsidRPr="00501C50" w:rsidRDefault="00210D57" w:rsidP="00E76B1C">
      <w:pPr>
        <w:jc w:val="both"/>
        <w:outlineLvl w:val="0"/>
        <w:rPr>
          <w:b/>
          <w:sz w:val="28"/>
          <w:szCs w:val="28"/>
        </w:rPr>
      </w:pPr>
      <w:r w:rsidRPr="00501C50">
        <w:rPr>
          <w:b/>
          <w:sz w:val="28"/>
          <w:szCs w:val="28"/>
        </w:rPr>
        <w:t>Introduction</w:t>
      </w:r>
    </w:p>
    <w:p w14:paraId="15C96011" w14:textId="77777777" w:rsidR="00210D57" w:rsidRDefault="00210D57" w:rsidP="00210D57">
      <w:pPr>
        <w:jc w:val="both"/>
      </w:pPr>
    </w:p>
    <w:p w14:paraId="69771888" w14:textId="273A0CBB" w:rsidR="00EC4871" w:rsidRPr="00BB2667" w:rsidRDefault="00EF6356" w:rsidP="00EC4871">
      <w:pPr>
        <w:spacing w:line="480" w:lineRule="auto"/>
        <w:jc w:val="both"/>
        <w:rPr>
          <w:lang w:val="sv-SE"/>
        </w:rPr>
      </w:pPr>
      <w:r>
        <w:t xml:space="preserve">Common carp </w:t>
      </w:r>
      <w:r w:rsidR="00B64061">
        <w:t>(</w:t>
      </w:r>
      <w:r w:rsidR="00B64061" w:rsidRPr="00DB0F49">
        <w:rPr>
          <w:i/>
        </w:rPr>
        <w:t xml:space="preserve">Cyprinus carpio </w:t>
      </w:r>
      <w:r w:rsidR="00B64061" w:rsidRPr="00DB0F49">
        <w:t xml:space="preserve">and </w:t>
      </w:r>
      <w:r w:rsidR="00B64061" w:rsidRPr="00DB0F49">
        <w:rPr>
          <w:i/>
        </w:rPr>
        <w:t>Cyprinus rubrofuscus</w:t>
      </w:r>
      <w:r w:rsidR="00B64061">
        <w:t>)</w:t>
      </w:r>
      <w:r w:rsidR="00EC4871">
        <w:t>, is  one of the most highly produced aqu</w:t>
      </w:r>
      <w:r w:rsidR="003E5272">
        <w:t>aculture fish species</w:t>
      </w:r>
      <w:r w:rsidR="00EE75D6">
        <w:t xml:space="preserve"> globally</w:t>
      </w:r>
      <w:r w:rsidR="003E5272">
        <w:t xml:space="preserve"> (FAO, 2015</w:t>
      </w:r>
      <w:r w:rsidR="00EC4871">
        <w:t xml:space="preserve">), being farmed in a wide variety of environments and production systems </w:t>
      </w:r>
      <w:r w:rsidR="006D1A44">
        <w:fldChar w:fldCharType="begin" w:fldLock="1"/>
      </w:r>
      <w:r w:rsidR="00C242BD">
        <w:instrText>ADDIN CSL_CITATION { "citationItems" : [ { "id" : "ITEM-1", "itemData" : { "DOI" : "10.1016/0044-8486(94)00227-F", "ISSN" : "00448486", "author" : [ { "dropping-particle" : "", "family" : "Balon", "given" : "Eugene K.", "non-dropping-particle" : "", "parse-names" : false, "suffix" : "" } ], "container-title" : "Aquaculture", "id" : "ITEM-1", "issue" : "1-4", "issued" : { "date-parts" : [ [ "1995", "1" ] ] }, "page" : "3-48", "title" : "Origin and domestication of the wild carp, Cyprinus carpio: from Roman gourmets to the swimming flowers", "type" : "article-journal", "volume" : "129" }, "uris" : [ "http://www.mendeley.com/documents/?uuid=57a382c9-a015-3ead-b0cc-cf24034c8c5c", "http://www.mendeley.com/documents/?uuid=0d532294-8696-4ac3-9187-908142ca7798" ] } ], "mendeley" : { "formattedCitation" : "(Balon 1995)", "plainTextFormattedCitation" : "(Balon 1995)", "previouslyFormattedCitation" : "(Balon 1995)" }, "properties" : {  }, "schema" : "https://github.com/citation-style-language/schema/raw/master/csl-citation.json" }</w:instrText>
      </w:r>
      <w:r w:rsidR="006D1A44">
        <w:fldChar w:fldCharType="separate"/>
      </w:r>
      <w:r w:rsidR="00EC4871" w:rsidRPr="00854545">
        <w:rPr>
          <w:noProof/>
        </w:rPr>
        <w:t>(Balon 1995)</w:t>
      </w:r>
      <w:r w:rsidR="006D1A44">
        <w:fldChar w:fldCharType="end"/>
      </w:r>
      <w:r w:rsidR="00EC4871">
        <w:t xml:space="preserve">. However, in common with </w:t>
      </w:r>
      <w:r w:rsidR="00EE75D6">
        <w:t xml:space="preserve">many </w:t>
      </w:r>
      <w:r w:rsidR="00EC4871">
        <w:t>aquaculture species, only a minority of farmed carp are derived from family-based selective breeding programs</w:t>
      </w:r>
      <w:r w:rsidR="007A6DB5">
        <w:t xml:space="preserve"> </w:t>
      </w:r>
      <w:r w:rsidR="006D1A44">
        <w:fldChar w:fldCharType="begin" w:fldLock="1"/>
      </w:r>
      <w:r w:rsidR="007A6DB5">
        <w:instrText>ADDIN CSL_CITATION { "citationItems" : [ { "id" : "ITEM-1", "itemData" : { "DOI" : "10.1016/S0990-7440(03)00056-1", "ISBN" : "0990-7440", "ISSN" : "09907440", "abstract" : "The common carp is one of the main aquaculture species in the world. Despite this, most of the production is carried out using unselected strains. Selective breeding for fast growth has not proven to be effective in this species, but other traits (disease resistance, shape) could be successfully selected for. Most heritability estimates in the literature are unreliable due to environmental biases, but complementary results from population genetics and comparison of strains seem to indicate that there should be a potential for selective breeding in this species, including selection for growth rate, provided the base populations are variable enough (e.g. synthetic strains). New techniques such as parentage assignment with microsatellites and use of doubled haploid progenies may help describe much more accurately, without environmental bias, the genetic determination of traits of interest in the carp. This could be a new opportunity to design efficient breeding programs in this important species. ?? 2003 ??ditions scientifiques et m??dicales Elsevier SAS and Ifremer/IRD/Inra/Cemagref. All rights reserved.", "author" : [ { "dropping-particle" : "", "family" : "Vandeputte", "given" : "Marc", "non-dropping-particle" : "", "parse-names" : false, "suffix" : "" } ], "container-title" : "Aquatic Living Resources", "id" : "ITEM-1", "issue" : "5", "issued" : { "date-parts" : [ [ "2003" ] ] }, "page" : "399-407", "title" : "Selective breeding of quantitative traits in the common carp (Cyprinus carpio): A review", "type" : "paper-conference", "volume" : "16" }, "uris" : [ "http://www.mendeley.com/documents/?uuid=2d196159-9291-46b1-b539-4afa6dc4a9d4" ] }, { "id" : "ITEM-2", "itemData" : { "DOI" : "10.1016/j.aquaculture.2016.03.012", "ISSN" : "00448486", "abstract" : "Objectives of this study were to determine the combined market share of breeding companies in aquaculture production in Europe, to describe the main characteristics of breeding companies and their programs, and to provide per species estimates on cumulative genetic gain in growth performance. Surveys were conducted among breeding companies of five major species cultured in Europe: Atlantic salmon, rainbow trout, European seabass, gilthead seabream, and turbot. The market share was estimated as the combined egg or juvenile production of breeding companies relative to the total egg or juvenile production in Europe for each species in 2012. Cumulative genetic gain was estimated from the number of selected generations in current breeding programs, combined with genetic trends, reported selection responses in literature, and phenotypic differences. The combined market share of breeding companies ranged from 43\u201356% for seabass to 100% for turbot. The total volume of fish production in Europe that originated from selective breeding was 1653\u20131706 thousand tonnes, corresponding to 80\u201383% of the total aquaculture production. Over species, there were 37 breeding programs of which the majority performed family selection. Growth performance was universally selected upon. Cumulative genetic gain in growth performance varied from +\u00a065% for turbot to +\u00a0900% for trout in terms of harvest weight, and from +\u00a025% for turbot to +\u00a0200% for trout in terms of thermal growth coefficient. It is concluded that selective breeding has a major impact on European aquaculture and will contribute to future growth of the sector. Statement of relevance This manuscript helps to understand the impact of selective breeding on European aquaculture. It shows that the adoption of selective breeding is much higher in Europe than globally. It demonstrates that selective breeding has led to major improvements. Forecasts of industry trends are made and the importance of selective breeding to future growth of aquaculture production is illustrated.", "author" : [ { "dropping-particle" : "", "family" : "Janssen", "given" : "K.", "non-dropping-particle" : "", "parse-names" : false, "suffix" : "" }, { "dropping-particle" : "", "family" : "Chavanne", "given" : "H.", "non-dropping-particle" : "", "parse-names" : false, "suffix" : "" }, { "dropping-particle" : "", "family" : "Berentsen", "given" : "P.", "non-dropping-particle" : "", "parse-names" : false, "suffix" : "" }, { "dropping-particle" : "", "family" : "Komen", "given" : "H.", "non-dropping-particle" : "", "parse-names" : false, "suffix" : "" } ], "container-title" : "Aquaculture", "id" : "ITEM-2", "issued" : { "date-parts" : [ [ "2017" ] ] }, "page" : "8-16", "title" : "Impact of selective breeding on European aquaculture", "type" : "article-journal", "volume" : "472" }, "uris" : [ "http://www.mendeley.com/documents/?uuid=96c09d29-5e7d-4d67-810e-7e0085de3615" ] } ], "mendeley" : { "formattedCitation" : "(Vandeputte 2003; Janssen &lt;i&gt;et al.&lt;/i&gt; 2017)", "plainTextFormattedCitation" : "(Vandeputte 2003; Janssen et al. 2017)", "previouslyFormattedCitation" : "(Vandeputte 2003; Janssen &lt;i&gt;et al.&lt;/i&gt; 2017)" }, "properties" : {  }, "schema" : "https://github.com/citation-style-language/schema/raw/master/csl-citation.json" }</w:instrText>
      </w:r>
      <w:r w:rsidR="006D1A44">
        <w:fldChar w:fldCharType="separate"/>
      </w:r>
      <w:r w:rsidR="007A6DB5" w:rsidRPr="007A6DB5">
        <w:rPr>
          <w:noProof/>
        </w:rPr>
        <w:t xml:space="preserve">(Vandeputte 2003; Janssen </w:t>
      </w:r>
      <w:r w:rsidR="007A6DB5" w:rsidRPr="007A6DB5">
        <w:rPr>
          <w:i/>
          <w:noProof/>
        </w:rPr>
        <w:t>et al.</w:t>
      </w:r>
      <w:r w:rsidR="007A6DB5" w:rsidRPr="007A6DB5">
        <w:rPr>
          <w:noProof/>
        </w:rPr>
        <w:t xml:space="preserve"> 2017)</w:t>
      </w:r>
      <w:r w:rsidR="006D1A44">
        <w:fldChar w:fldCharType="end"/>
      </w:r>
      <w:r w:rsidR="00EC4871">
        <w:t xml:space="preserve">. </w:t>
      </w:r>
      <w:r w:rsidRPr="005778F6">
        <w:rPr>
          <w:lang w:val="en-GB"/>
        </w:rPr>
        <w:t xml:space="preserve">The potential for selective breeding to enhance production in carp is highlighted by </w:t>
      </w:r>
      <w:r w:rsidR="0072577E">
        <w:rPr>
          <w:lang w:val="en-GB"/>
        </w:rPr>
        <w:t>several studies</w:t>
      </w:r>
      <w:r w:rsidRPr="005778F6">
        <w:rPr>
          <w:lang w:val="en-GB"/>
        </w:rPr>
        <w:t xml:space="preserve">, but </w:t>
      </w:r>
      <w:r w:rsidR="0072577E">
        <w:rPr>
          <w:lang w:val="en-GB"/>
        </w:rPr>
        <w:t xml:space="preserve">much of the production of commercial stock is still </w:t>
      </w:r>
      <w:r w:rsidR="00ED7C65">
        <w:rPr>
          <w:lang w:val="en-GB"/>
        </w:rPr>
        <w:t xml:space="preserve">generated </w:t>
      </w:r>
      <w:r w:rsidR="0072577E">
        <w:rPr>
          <w:lang w:val="en-GB"/>
        </w:rPr>
        <w:t xml:space="preserve">via </w:t>
      </w:r>
      <w:r w:rsidRPr="005778F6">
        <w:rPr>
          <w:lang w:val="en-GB"/>
        </w:rPr>
        <w:t>intraspecific crossbreeding</w:t>
      </w:r>
      <w:r w:rsidR="00835A72">
        <w:rPr>
          <w:lang w:val="en-GB"/>
        </w:rPr>
        <w:t xml:space="preserve"> </w:t>
      </w:r>
      <w:r w:rsidR="006D1A44">
        <w:rPr>
          <w:lang w:val="en-GB"/>
        </w:rPr>
        <w:fldChar w:fldCharType="begin" w:fldLock="1"/>
      </w:r>
      <w:r w:rsidR="00912E5B">
        <w:rPr>
          <w:lang w:val="en-GB"/>
        </w:rPr>
        <w:instrText>ADDIN CSL_CITATION { "citationItems" : [ { "id" : "ITEM-1", "itemData" : { "DOI" : "10.1111/j.1365-2109.2005.01340.x", "ISSN" : "1355-557X", "author" : [ { "dropping-particle" : "", "family" : "Kocour", "given" : "Martin", "non-dropping-particle" : "", "parse-names" : false, "suffix" : "" }, { "dropping-particle" : "", "family" : "Gela", "given" : "David", "non-dropping-particle" : "", "parse-names" : false, "suffix" : "" }, { "dropping-particle" : "", "family" : "Rodina", "given" : "Marek", "non-dropping-particle" : "", "parse-names" : false, "suffix" : "" }, { "dropping-particle" : "", "family" : "Linhart", "given" : "Otomar", "non-dropping-particle" : "", "parse-names" : false, "suffix" : "" } ], "container-title" : "Aquaculture Research", "id" : "ITEM-1", "issue" : "12", "issued" : { "date-parts" : [ [ "2005", "9" ] ] }, "page" : "1207-1215", "publisher" : "Blackwell Science Ltd", "title" : "Testing of performance in common carp Cyprinus carpio L. under pond husbandry conditions I: top-crossing with Northern mirror carp", "type" : "article-journal", "volume" : "36" }, "uris" : [ "http://www.mendeley.com/documents/?uuid=aade7b67-7cd2-47da-b3cd-18da2beceb1a" ] }, { "id" : "ITEM-2", "itemData" : { "DOI" : "10.1016/j.aquaculture.2007.03.001", "ISBN" : "0044-8486", "ISSN" : "00448486", "abstract" : "Heritability estimates with a microsatellite parentage assignment based pedigree are of special interest in common carp cultured under traditional pond conditions. This method reduces common environment effects as all families can be grown immediately after hatching mixed in the same pond. We applied this method to study genetics of growth and processing traits in common carp at market size (1.5\u00a0kg and more). The experimental progeny was established by crossing 147 two-year old males and 8 females (six to eight-year old) of Hungarian synthetic mirror carp population. The fish grew up through three vegetation seasons and at the end a sample of 331 fish was examined for biometrical traits (standard length, body weight, relative head length, relative body height, relative body width), percent fat and processing traits (% processed body, % fillets with skin, % fillets without skin). It was shown that sex had a significant effect on most traits: females were larger and fatter than males, and they had both higher percent processed body and percent fillet with skin. Standard length, body weight, percent fat and relative head length had a high heritability (&gt; 0.5), while relative body height, relative body width, percent processed body and fillet yields had a medium heritability (0.2-0.5). We found relatively high positive genetic correlations between body size (standard length and body weight) and percent fat (0.71 and 0.59, respectively), favourable genetic correlations between body size and percent processed body (0.69 for standard length and 0.74 for body weight) and between body size and fillet yields (0.50-0.77). Genetic correlations between body size and body shape (relative head length, relative body height and relative body width) were weak to moderate, thus selection for better growth should have little impact towards more rotund shape. Relative head length had strong negative correlation (- 0.7 to - 0.9) with percent fat, percent processed body and percent fillet yields. This means that indirect selection for reduced relative head length should be effective in improving of fillet yield. \u00a9 2007 Elsevier B.V. All rights reserved.", "author" : [ { "dropping-particle" : "", "family" : "Kocour", "given" : "Martin", "non-dropping-particle" : "", "parse-names" : false, "suffix" : "" }, { "dropping-particle" : "", "family" : "Mauger", "given" : "St\u00e9phane", "non-dropping-particle" : "", "parse-names" : false, "suffix" : "" }, { "dropping-particle" : "", "family" : "Rodina", "given" : "Marek", "non-dropping-particle" : "", "parse-names" : false, "suffix" : "" }, { "dropping-particle" : "", "family" : "Gela", "given" : "David", "non-dropping-particle" : "", "parse-names" : false, "suffix" : "" }, { "dropping-particle" : "", "family" : "Linhart", "given" : "Otomar", "non-dropping-particle" : "", "parse-names" : false, "suffix" : "" }, { "dropping-particle" : "", "family" : "Vandeputte", "given" : "Marc", "non-dropping-particle" : "", "parse-names" : false, "suffix" : "" } ], "container-title" : "Aquaculture", "id" : "ITEM-2", "issue" : "1-4", "issued" : { "date-parts" : [ [ "2007" ] ] }, "page" : "43-50", "title" : "Heritability estimates for processing and quality traits in common carp (Cyprinus carpio L.) using a molecular pedigree", "type" : "article-journal", "volume" : "270" }, "uris" : [ "http://www.mendeley.com/documents/?uuid=0cd7d186-7ac2-4ba4-9421-1733f52258a1" ] }, { "id" : "ITEM-3", "itemData" : { "DOI" : "10.1016/j.aquaculture.2008.02.009", "ISSN" : "00448486", "abstract" : "We estimated the heritability of growth-related traits (weight and length at ages one summer, first spring and two summers) in a synthetic mirror carp strain (HSM) in the Czech Republic. The four generation pedigree was obtained from parentage assignment of three factorial mating designs with microsatellite markers, and included 195 fish without phenotypes (48 G0, 147 G1) and 1321 fish with phenotypes (674 G2, 647 G3). Animal model heritability estimates over generations were in the range 0.21-0.33 for length and in the range 0.31-0.44 for weight. The genetic correlation between length and weight was high (0.97). The correlations between growth measurements in the first and in the second summer of age were moderate to low (0.34-0.67). Divergent selection for length at two summers of age was performed on G2 fish, and response to selection was evaluated by comparing the offspring of the selected sires in G3, in a communal test where genetic groups were identified by microsatellite parentage assignment. The response to upwards selection was moderate and indicated a realized heritability value of 0.24 to 0.34. No response to downwards selection was observed. We conclude that although selection for growth seems to be feasible in common carp, it would be a long-term process before results are visible. \u00a9 2008 Elsevier B.V. All rights reserved.", "author" : [ { "dropping-particle" : "", "family" : "Vandeputte", "given" : "Marc", "non-dropping-particle" : "", "parse-names" : false, "suffix" : "" }, { "dropping-particle" : "", "family" : "Kocour", "given" : "Martin", "non-dropping-particle" : "", "parse-names" : false, "suffix" : "" }, { "dropping-particle" : "", "family" : "Mauger", "given" : "St\u00e9phane", "non-dropping-particle" : "", "parse-names" : false, "suffix" : "" }, { "dropping-particle" : "", "family" : "Rodina", "given" : "Marek", "non-dropping-particle" : "", "parse-names" : false, "suffix" : "" }, { "dropping-particle" : "", "family" : "Launay", "given" : "Amandine", "non-dropping-particle" : "", "parse-names" : false, "suffix" : "" }, { "dropping-particle" : "", "family" : "Gela", "given" : "David", "non-dropping-particle" : "", "parse-names" : false, "suffix" : "" }, { "dropping-particle" : "", "family" : "Dupont-Nivet", "given" : "Mathilde", "non-dropping-particle" : "", "parse-names" : false, "suffix" : "" }, { "dropping-particle" : "", "family" : "Hulak", "given" : "Martin", "non-dropping-particle" : "", "parse-names" : false, "suffix" : "" }, { "dropping-particle" : "", "family" : "Linhart", "given" : "Otomar", "non-dropping-particle" : "", "parse-names" : false, "suffix" : "" } ], "container-title" : "Aquaculture", "id" : "ITEM-3", "issue" : "1-2", "issued" : { "date-parts" : [ [ "2008" ] ] }, "page" : "7-13", "title" : "Genetic variation for growth at one and two summers of age in the common carp (Cyprinus carpio L.): Heritability estimates and response to selection", "type" : "article-journal", "volume" : "277" }, "uris" : [ "http://www.mendeley.com/documents/?uuid=b4f38deb-8229-475c-8ae6-a6636a709e77" ] }, { "id" : "ITEM-4", "itemData" : { "DOI" : "10.1016/j.aquaculture.2010.03.016", "ISBN" : "0044-8486", "ISSN" : "00448486", "abstract" : "The aim of this study was to estimate genetic parameters and heterosis for weight, length and survival traits for common carp measured at different time periods at commercial farm conditions. A diallel cross between two land race strains (Duna and Amur), and two farmed strains (Tata and Szarvas 15) was used. Five females and 10 males per strain were used to produce six families for each of the 16 cross combinations resulting in 96 families each with 20 fish. The fish were weighed at tagging (W0), and also their length were measured at first autumn (W1, L1), second spring (W2, L2), and second autumn (W3, L3). Survival was defined as survival from second spring (W2) to second autumn (W3). Heritabilities for weight and length traits were estimated using univariate models, whereas genetic correlations and heritabilities for survival were estimated using multivariate models. The difference between the strains with respect to survival was clearly significant with Duna having the highest expected survival rate (81%), followed by Amur (69%), Tata (53%) and Szarvas 15 (51%). The level of heterosis (cross vs. purebred) varied from - 14 to 29% for weight traits, from 1.7 to 8.3% for length traits, and from 8-37% for pond survival. Heritabilities were low for early weight and length traits (W0, W1, W2, L1, and L2, 0.11-0.16) but high for W3 and L3 (0.49, 0.50). For survival the heritability on the underlying scale was 0.34 ?? 0.09 corresponding to a heritability of ??? 0.2 on the observable scale. High genetic correlations (0.81-0.98) were estimated between weight and length measured at the same time (W2/L2, and W3/ L3) and between weight measured in the first autumn (W1) and second spring (W2). Genetic correlations between weight and survival were low and non-significant for W2 (0.06 ?? 0.35), but high and significant for W3 (0.65 ?? 0.15). The high levels of heritabilities for length and weight at harvest (W3) and the moderate heritability for survival indicate that selective breeding for these traits could be successful in common carp. ?? 2010 Elsevier B.V. All rights reserved.", "author" : [ { "dropping-particle" : "", "family" : "Nielsen", "given" : "H.M.", "non-dropping-particle" : "", "parse-names" : false, "suffix" : "" }, { "dropping-particle" : "", "family" : "\u00d8deg\u00e5rd", "given" : "J.", "non-dropping-particle" : "", "parse-names" : false, "suffix" : "" }, { "dropping-particle" : "", "family" : "Olesen", "given" : "I.", "non-dropping-particle" : "", "parse-names" : false, "suffix" : "" }, { "dropping-particle" : "", "family" : "Gjerde", "given" : "B.", "non-dropping-particle" : "", "parse-names" : false, "suffix" : "" }, { "dropping-particle" : "", "family" : "Ardo", "given" : "L.", "non-dropping-particle" : "", "parse-names" : false, "suffix" : "" }, { "dropping-particle" : "", "family" : "Jeney", "given" : "G.", "non-dropping-particle" : "", "parse-names" : false, "suffix" : "" }, { "dropping-particle" : "", "family" : "Jeney", "given" : "Z.", "non-dropping-particle" : "", "parse-names" : false, "suffix" : "" } ], "container-title" : "Aquaculture", "id" : "ITEM-4", "issue" : "1-4", "issued" : { "date-parts" : [ [ "2010" ] ] }, "page" : "14-21", "title" : "Genetic analysis of common carp (Cyprinus carpio) strains. I: Genetic parameters and heterosis for growth traits and survival", "type" : "article-journal", "volume" : "304" }, "uris" : [ "http://www.mendeley.com/documents/?uuid=b611bdff-ce4c-4700-ae0d-7fd57b43ad9c" ] }, { "id" : "ITEM-5", "itemData" : { "DOI" : "10.1371/journal.pone.0191624", "ISSN" : "19326203", "abstract" : "\u00a9 2018 Prchal et al. This is an open access article distributed under the terms of the Creative Commons Attribution License, which permits unrestricted use, distribution, and reproduction in any medium, provided the original author and source are credited. Using farmed common carp, we investigated the genetic background of the second year overwintering performance and its relation to the performance during the third growing season and at market size. The experimental stock was established by partial factorial design with a series of 4 factorial matings of 5 dams and 10 sires each. The families were reared communally and pedigree was re-constructed with 93.6% success using 12 microsatellites on 2008 offspring. Three successive recordings (second autumn, third spring, and third autumn market size) covering two periods (second overwintering, third growing season) were included. Body weight, Fulton's condition factor and percent muscle fat content were recorded at all times and headless carcass yield and fillet yield were recorded at market size. Specific growth rate, absolute and relative fat change and overall survival were calculated for each period. Heritability estimates were significantly different from zero and almost all traits were moderately to highly heritable (h2 = 0.36\u00b11.00), except survival in both periods and fat change (both patterns) during overwintering (h2 = 0.12\u00b10.15). Genetic and phenotypic correlations imply that selection against weight loss and fat loss during overwintering is expected to lead to a better winter survival, together with a positive effect on growth in the third growing season. Interestingly, higher muscle fat content was genetically correlated to lower survival in the following period (rg = -0.59; -0.53, respectively for winter and the third summer). On the other hand, higher muscle fat was also genetically linked to better slaughter yields. Moreover, selection for higher condition factor would lead to better performance during winter, growing season and at market size.", "author" : [ { "dropping-particle" : "", "family" : "Prchal", "given" : "Martin", "non-dropping-particle" : "", "parse-names" : false, "suffix" : "" }, { "dropping-particle" : "", "family" : "Kause", "given" : "Antti", "non-dropping-particle" : "", "parse-names" : false, "suffix" : "" }, { "dropping-particle" : "", "family" : "Vandeputte", "given" : "Marc", "non-dropping-particle" : "", "parse-names" : false, "suffix" : "" }, { "dropping-particle" : "", "family" : "Gela", "given" : "David", "non-dropping-particle" : "", "parse-names" : false, "suffix" : "" }, { "dropping-particle" : "", "family" : "Allamellou", "given" : "Jean Michel", "non-dropping-particle" : "", "parse-names" : false, "suffix" : "" }, { "dropping-particle" : "", "family" : "Kumar", "given" : "Girish", "non-dropping-particle" : "", "parse-names" : false, "suffix" : "" }, { "dropping-par</w:instrText>
      </w:r>
      <w:r w:rsidR="00912E5B" w:rsidRPr="00BB2667">
        <w:rPr>
          <w:lang w:val="sv-SE"/>
        </w:rPr>
        <w:instrText>ticle" : "", "family" : "Bestin", "given" : "Anastasia", "non-dropping-particle" : "", "parse-names" : false, "suffix" : "" }, { "dropping-particle" : "", "family" : "Bugeon", "given" : "J\u00e9r\u00f4me", "non-dropping-particle" : "", "parse-names" : false, "suffix" : "" }, { "dropping-particle" : "", "family" : "Zhao", "given" : "Jinfeng", "non-dropping-particle" : "", "parse-names" : false, "suffix" : "" }, { "dropping-particle" : "", "family" : "Kocour", "given" : "Martin", "non-dropping-particle" : "", "parse-names" : false, "suffix" : "" } ], "container-title" : "PLoS ONE", "id" : "ITEM-5", "issue" : "1", "issued" : { "date-parts" : [ [ "2018" ] ] }, "title" : "The genetics of overwintering performance in two-year old common carp and its relation to performance until market size", "type" : "article-journal", "volume" : "13" }, "uris" : [ "http://www.mendeley.com/documents/?uuid=809ca0d6-95e1-432a-9493-da29ff965299" ] } ], "mendeley" : { "formattedCitation" : "(Kocour &lt;i&gt;et al.&lt;/i&gt; 2005, 2007; Vandeputte &lt;i&gt;et al.&lt;/i&gt; 2008; Nielsen &lt;i&gt;et al.&lt;/i&gt; 2010; Prchal &lt;i&gt;et al.&lt;/i&gt; 2018)", "plainTextFormattedCitation" : "(Kocour et al. 2005, 2007; Vandeputte et al. 2008; Nielsen et al. 2010; Prchal et al. 2018)", "previouslyFormattedCitation" : "(Kocour &lt;i&gt;et al.&lt;/i&gt; 2005, 2007; Vandeputte &lt;i&gt;et al.&lt;/i&gt; 2008; Nielsen &lt;i&gt;et al.&lt;/i&gt; 2010; Prchal &lt;i&gt;et al.&lt;/i&gt; 2018)" }, "properties" : {  }, "schema" : "https://github.com/citation-style-language/schema/raw/master/csl-citation.json" }</w:instrText>
      </w:r>
      <w:r w:rsidR="006D1A44">
        <w:rPr>
          <w:lang w:val="en-GB"/>
        </w:rPr>
        <w:fldChar w:fldCharType="separate"/>
      </w:r>
      <w:r w:rsidR="00912E5B" w:rsidRPr="00BB2667">
        <w:rPr>
          <w:noProof/>
          <w:lang w:val="sv-SE"/>
        </w:rPr>
        <w:t xml:space="preserve">(Kocour </w:t>
      </w:r>
      <w:r w:rsidR="00912E5B" w:rsidRPr="00BB2667">
        <w:rPr>
          <w:i/>
          <w:noProof/>
          <w:lang w:val="sv-SE"/>
        </w:rPr>
        <w:t>et al.</w:t>
      </w:r>
      <w:r w:rsidR="00912E5B" w:rsidRPr="00BB2667">
        <w:rPr>
          <w:noProof/>
          <w:lang w:val="sv-SE"/>
        </w:rPr>
        <w:t xml:space="preserve"> 2005, 2007; Vandeputte </w:t>
      </w:r>
      <w:r w:rsidR="00912E5B" w:rsidRPr="00BB2667">
        <w:rPr>
          <w:i/>
          <w:noProof/>
          <w:lang w:val="sv-SE"/>
        </w:rPr>
        <w:t>et al.</w:t>
      </w:r>
      <w:r w:rsidR="00912E5B" w:rsidRPr="00BB2667">
        <w:rPr>
          <w:noProof/>
          <w:lang w:val="sv-SE"/>
        </w:rPr>
        <w:t xml:space="preserve"> 2008; Nielsen </w:t>
      </w:r>
      <w:r w:rsidR="00912E5B" w:rsidRPr="00BB2667">
        <w:rPr>
          <w:i/>
          <w:noProof/>
          <w:lang w:val="sv-SE"/>
        </w:rPr>
        <w:t>et al.</w:t>
      </w:r>
      <w:r w:rsidR="00912E5B" w:rsidRPr="00BB2667">
        <w:rPr>
          <w:noProof/>
          <w:lang w:val="sv-SE"/>
        </w:rPr>
        <w:t xml:space="preserve"> 2010; Prchal </w:t>
      </w:r>
      <w:r w:rsidR="00912E5B" w:rsidRPr="00BB2667">
        <w:rPr>
          <w:i/>
          <w:noProof/>
          <w:lang w:val="sv-SE"/>
        </w:rPr>
        <w:t>et al.</w:t>
      </w:r>
      <w:r w:rsidR="00912E5B" w:rsidRPr="00BB2667">
        <w:rPr>
          <w:noProof/>
          <w:lang w:val="sv-SE"/>
        </w:rPr>
        <w:t xml:space="preserve"> 2018)</w:t>
      </w:r>
      <w:r w:rsidR="006D1A44">
        <w:rPr>
          <w:lang w:val="en-GB"/>
        </w:rPr>
        <w:fldChar w:fldCharType="end"/>
      </w:r>
      <w:r w:rsidR="00EC4871" w:rsidRPr="00BB2667">
        <w:rPr>
          <w:lang w:val="sv-SE"/>
        </w:rPr>
        <w:t xml:space="preserve">. </w:t>
      </w:r>
    </w:p>
    <w:p w14:paraId="18F507A1" w14:textId="77777777" w:rsidR="003A318B" w:rsidRPr="00BB2667" w:rsidRDefault="003A318B" w:rsidP="00D62B6E">
      <w:pPr>
        <w:spacing w:line="480" w:lineRule="auto"/>
        <w:jc w:val="both"/>
        <w:rPr>
          <w:lang w:val="sv-SE"/>
        </w:rPr>
      </w:pPr>
    </w:p>
    <w:p w14:paraId="0B326663" w14:textId="790734CD" w:rsidR="00DF49E5" w:rsidRDefault="007D5A7E" w:rsidP="00D62B6E">
      <w:pPr>
        <w:spacing w:line="480" w:lineRule="auto"/>
        <w:jc w:val="both"/>
      </w:pPr>
      <w:r>
        <w:t xml:space="preserve">Koi </w:t>
      </w:r>
      <w:r w:rsidR="00E73C18">
        <w:t>h</w:t>
      </w:r>
      <w:r w:rsidR="003846E8">
        <w:t xml:space="preserve">erpesvirus (KHV), </w:t>
      </w:r>
      <w:r w:rsidR="00AE7649">
        <w:t xml:space="preserve">also known as </w:t>
      </w:r>
      <w:r w:rsidR="003846E8">
        <w:t xml:space="preserve">Cyprinid herpesvirus-3 </w:t>
      </w:r>
      <w:r w:rsidR="003846E8" w:rsidRPr="00DC7578">
        <w:t>(</w:t>
      </w:r>
      <w:r w:rsidR="003846E8" w:rsidRPr="00EA6F21">
        <w:rPr>
          <w:shd w:val="clear" w:color="auto" w:fill="FFFFFF"/>
        </w:rPr>
        <w:t>CyHV-</w:t>
      </w:r>
      <w:r w:rsidR="003846E8" w:rsidRPr="00EA6F21">
        <w:rPr>
          <w:bCs/>
          <w:shd w:val="clear" w:color="auto" w:fill="FFFFFF"/>
        </w:rPr>
        <w:t>3</w:t>
      </w:r>
      <w:r w:rsidR="003846E8" w:rsidRPr="00EA6F21">
        <w:rPr>
          <w:shd w:val="clear" w:color="auto" w:fill="FFFFFF"/>
        </w:rPr>
        <w:t>)</w:t>
      </w:r>
      <w:r w:rsidR="003846E8">
        <w:rPr>
          <w:shd w:val="clear" w:color="auto" w:fill="FFFFFF"/>
        </w:rPr>
        <w:t>,</w:t>
      </w:r>
      <w:r w:rsidRPr="00DC7578">
        <w:t xml:space="preserve"> </w:t>
      </w:r>
      <w:r>
        <w:t xml:space="preserve">is </w:t>
      </w:r>
      <w:r w:rsidR="002705DE">
        <w:t xml:space="preserve">one of the main </w:t>
      </w:r>
      <w:r>
        <w:t>threat</w:t>
      </w:r>
      <w:r w:rsidR="002705DE">
        <w:t>s</w:t>
      </w:r>
      <w:r>
        <w:t xml:space="preserve"> </w:t>
      </w:r>
      <w:r w:rsidR="002705DE">
        <w:t xml:space="preserve">to </w:t>
      </w:r>
      <w:r>
        <w:t>carp production</w:t>
      </w:r>
      <w:r w:rsidR="00AE7649">
        <w:t>. T</w:t>
      </w:r>
      <w:r w:rsidR="009B58D3">
        <w:t xml:space="preserve">he first </w:t>
      </w:r>
      <w:r w:rsidR="003A318B">
        <w:t xml:space="preserve">major </w:t>
      </w:r>
      <w:r w:rsidR="009B58D3">
        <w:t xml:space="preserve">outbreaks </w:t>
      </w:r>
      <w:r w:rsidR="00AE7649">
        <w:t xml:space="preserve">were </w:t>
      </w:r>
      <w:r w:rsidR="002705DE">
        <w:t xml:space="preserve">recorded </w:t>
      </w:r>
      <w:r w:rsidR="009B58D3">
        <w:t>in 1998</w:t>
      </w:r>
      <w:r w:rsidR="00455E6C">
        <w:t xml:space="preserve"> </w:t>
      </w:r>
      <w:r w:rsidR="006D1A44">
        <w:fldChar w:fldCharType="begin" w:fldLock="1"/>
      </w:r>
      <w:r w:rsidR="00455E6C">
        <w:instrText>ADDIN CSL_CITATION { "citationItems" : [ { "id" : "ITEM-1", "itemData" : { "DOI" : "10.1577/1548-8667(2000)012&lt;0044:AHAWMM&gt;2.0.CO;2", "ISBN" : "Journal of Aquatic Animal Health, Vol. 12, No. 1, March 2000: pp. 44\u201357", "ISSN" : "15488667", "abstract" : "A herpesvirus was isolated from adult koi, a strain of common carp Cyprinus carpio, suffering mass mortality in two outbreaks\u2014one in the mid-Atlantic region of the United States and the second in Israel. The principal external signs of dying fish were pale and irregularly colored gills. There were few consistent internal signs in either outbreak. The most prominent microscopic lesions were in the gills, where hyperplasia and necrosis of the epithelium were severe. Other lesions included interstitial nephritis, splenitis, and enteritis. Affected cells often contained nuclei with marginated chromatin and faint intranuclear inclusions. Typical herpesvirus particles were present in branchial epithelial cells, hepatocytes, and among circulating leukocytes. Inoculations of the koi fin (KF-1) cell line with tissue extracts from the gill and kidney\u2013spleen resulted in cytopathic effects characterized by severe vacuolation first detected after 7 d incubation at 20\u00b0C. Exposures of adult koi to the herpesvirus as propagated in KF-1 cells by bath or intraperitoneal injections resulted in 80\u2013100% mortality during a 26-d period, and the virus was reisolated from the gill, kidney, liver, spleen, intestine, and brain of dead fish. The viral agents from koi in Israel and the United States appear to be similar if not identical; both could be distinguished from Herpesvirus cyprini by indirect fluorescent antibody tests with rabbit anti-H. cyprini serum. Other factors should be examined but we strongly suspect that this newly recognized koi herpesvirus (KHV) has the potential to be a significant cause of mortality among koi and presumably common carp.", "author" : [ { "dropping-particle" : "", "family" : "Hedrick", "given" : "R. P.", "non-dropping-particle" : "", "parse-names" : false, "suffix" : "" }, { "dropping-particle" : "", "family" : "Gilad", "given" : "O.", "non-dropping-particle" : "", "parse-names" : false, "suffix" : "" }, { "dropping-particle" : "", "family" : "Yun", "given" : "S.", "non-dropping-particle" : "", "parse-names" : false, "suffix" : "" }, { "dropping-particle" : "V.", "family" : "Spangenberg", "given" : "J.", "non-dropping-particle" : "", "parse-names" : false, "suffix" : "" }, { "dropping-particle" : "", "family" : "Marty", "given" : "G. D.", "non-dropping-particle" : "", "parse-names" : false, "suffix" : "" }, { "dropping-particle" : "", "family" : "Nordhausen", "given" : "R. W.", "non-dropping-particle" : "", "parse-names" : false, "suffix" : "" }, { "dropping-particle" : "", "family" : "Kebus", "given" : "M. J.", "non-dropping-particle" : "", "parse-names" : false, "suffix" : "" }, { "dropping-particle" : "", "family" : "Bercovier", "given" : "H.", "non-dropping-particle" : "", "parse-names" : false, "suffix" : "" }, { "dropping-particle" : "", "family" : "Eldar", "given" : "A.", "non-dropping-particle" : "", "parse-names" : false, "suffix" : "" } ], "container-title" : "Journal of Aquatic Animal Health", "id" : "ITEM-1", "issue" : "1", "issued" : { "date-parts" : [ [ "2000" ] ] }, "page" : "44-57", "title" : "A herpesvirus associated with mass mortality of juvenile and adult koi, a strain of common carp", "type" : "article-journal", "volume" : "12" }, "uris" : [ "http://www.mendeley.com/documents/?uuid=2b16a442-7e47-4285-9191-820addcef154" ] } ], "mendeley" : { "formattedCitation" : "(Hedrick &lt;i&gt;et al.&lt;/i&gt; 2000)", "plainTextFormattedCitation" : "(Hedrick et al. 2000)", "previouslyFormattedCitation" : "(Hedrick &lt;i&gt;et al.&lt;/i&gt; 2000)" }, "properties" : {  }, "schema" : "https://github.com/citation-style-language/schema/raw/master/csl-citation.json" }</w:instrText>
      </w:r>
      <w:r w:rsidR="006D1A44">
        <w:fldChar w:fldCharType="separate"/>
      </w:r>
      <w:r w:rsidR="00455E6C" w:rsidRPr="00455E6C">
        <w:rPr>
          <w:noProof/>
        </w:rPr>
        <w:t xml:space="preserve">(Hedrick </w:t>
      </w:r>
      <w:r w:rsidR="00455E6C" w:rsidRPr="00455E6C">
        <w:rPr>
          <w:i/>
          <w:noProof/>
        </w:rPr>
        <w:t>et al.</w:t>
      </w:r>
      <w:r w:rsidR="00455E6C" w:rsidRPr="00455E6C">
        <w:rPr>
          <w:noProof/>
        </w:rPr>
        <w:t xml:space="preserve"> 2000)</w:t>
      </w:r>
      <w:r w:rsidR="006D1A44">
        <w:fldChar w:fldCharType="end"/>
      </w:r>
      <w:r w:rsidR="002705DE">
        <w:t>, and subsequent outbreaks in many carp producing countries</w:t>
      </w:r>
      <w:r w:rsidR="00AE7649">
        <w:t xml:space="preserve"> were reported</w:t>
      </w:r>
      <w:r w:rsidR="002705DE">
        <w:t xml:space="preserve"> </w:t>
      </w:r>
      <w:r w:rsidR="00AE7649">
        <w:t xml:space="preserve">worldwide </w:t>
      </w:r>
      <w:r w:rsidR="006D1A44">
        <w:fldChar w:fldCharType="begin" w:fldLock="1"/>
      </w:r>
      <w:r w:rsidR="00C242BD">
        <w:instrText>ADDIN CSL_CITATION { "citationItems" : [ { "id" : "ITEM-1", "itemData" : { "author" : [ { "dropping-particle" : "", "family" : "Haenen", "given" : "O L M", "non-dropping-particle" : "", "parse-names" : false, "suffix" : "" }, { "dropping-particle" : "", "family" : "Way", "given" : "K", "non-dropping-particle" : "", "parse-names" : false, "suffix" : "" }, { "dropping-particle" : "", "family" : "Bergmann", "given" : "S M", "non-dropping-particle" : "", "parse-names" : false, "suffix" : "" }, { "dropping-particle" : "", "family" : "Ariel", "given" : "E", "non-dropping-particle" : "", "parse-names" : false, "suffix" : "" } ], "container-title" : "Bull. Eur. Ass. Fish Pathol", "id" : "ITEM-1", "issue" : "6", "issued" : { "date-parts" : [ [ "2004" ] ] }, "title" : "The emergence of koi herpesvirus and its significance to European aquaculture", "type" : "article-journal", "volume" : "24" }, "uris" : [ "http://www.mendeley.com/documents/?uuid=1ac9b2d2-3652-3394-90ae-5fd76ecca9de", "http://www.mendeley.com/documents/?uuid=3d6685f0-8d58-4ae4-a3ce-55b44d6a8910" ] } ], "mendeley" : { "formattedCitation" : "(Haenen &lt;i&gt;et al.&lt;/i&gt; 2004)", "plainTextFormattedCitation" : "(Haenen et al. 2004)", "previouslyFormattedCitation" : "(Haenen &lt;i&gt;et al.&lt;/i&gt; 2004)" }, "properties" : {  }, "schema" : "https://github.com/citation-style-language/schema/raw/master/csl-citation.json" }</w:instrText>
      </w:r>
      <w:r w:rsidR="006D1A44">
        <w:fldChar w:fldCharType="separate"/>
      </w:r>
      <w:r w:rsidR="003A318B" w:rsidRPr="003A318B">
        <w:rPr>
          <w:noProof/>
        </w:rPr>
        <w:t xml:space="preserve">(Haenen </w:t>
      </w:r>
      <w:r w:rsidR="003A318B" w:rsidRPr="003A318B">
        <w:rPr>
          <w:i/>
          <w:noProof/>
        </w:rPr>
        <w:t>et al.</w:t>
      </w:r>
      <w:r w:rsidR="003A318B" w:rsidRPr="003A318B">
        <w:rPr>
          <w:noProof/>
        </w:rPr>
        <w:t xml:space="preserve"> 2004)</w:t>
      </w:r>
      <w:r w:rsidR="006D1A44">
        <w:fldChar w:fldCharType="end"/>
      </w:r>
      <w:r w:rsidR="009B58D3">
        <w:t xml:space="preserve">. </w:t>
      </w:r>
      <w:r w:rsidR="002705DE">
        <w:t xml:space="preserve">The seriousness of the KHV threat is highlighted by its listing </w:t>
      </w:r>
      <w:r>
        <w:t>as a notifiable disease</w:t>
      </w:r>
      <w:r w:rsidR="00E809CE">
        <w:t xml:space="preserve"> </w:t>
      </w:r>
      <w:r w:rsidR="00AE7649">
        <w:t xml:space="preserve">by </w:t>
      </w:r>
      <w:r w:rsidR="00E809CE">
        <w:t>the European Union</w:t>
      </w:r>
      <w:r w:rsidR="009B58D3">
        <w:t xml:space="preserve"> </w:t>
      </w:r>
      <w:r w:rsidR="006D1A44">
        <w:fldChar w:fldCharType="begin" w:fldLock="1"/>
      </w:r>
      <w:r w:rsidR="00C242BD">
        <w:instrText>ADDIN CSL_CITATION { "citationItems" : [ { "id" : "ITEM-1", "itemData" : { "DOI" : "10.1111/j.1365-2761.2009.01111.x", "ISSN" : "01407775", "author" : [ { "dropping-particle" : "", "family" : "Taylor", "given" : "N G H", "non-dropping-particle" : "", "parse-names" : false, "suffix" : "" }, { "dropping-particle" : "", "family" : "Dixon", "given" : "P F", "non-dropping-particle" : "", "parse-names" : false, "suffix" : "" }, { "dropping-particle" : "", "family" : "Jeffery", "given" : "K R", "non-dropping-particle" : "", "parse-names" : false, "suffix" : "" }, { "dropping-particle" : "", "family" : "Peeler", "given" : "E J", "non-dropping-particle" : "", "parse-names" : false, "suffix" : "" }, { "dropping-particle" : "", "family" : "Denham", "given" : "K L", "non-dropping-particle" : "", "parse-names" : false, "suffix" : "" }, { "dropping-particle" : "", "family" : "Way", "given" : "K", "non-dropping-particle" : "", "parse-names" : false, "suffix" : "" } ], "container-title" : "Journal of Fish Diseases", "id" : "ITEM-1", "issue" : "3", "issued" : { "date-parts" : [ [ "2010", "3" ] ] }, "page" : "221-230", "publisher" : "Blackwell Publishing Ltd", "title" : "Koi herpesvirus: distribution and prospects for control in England and Wales", "type" : "article-journal", "volume" : "33" }, "uris" : [ "http://www.mendeley.com/documents/?uuid=8f6dfafc-769c-3d60-a327-d1ba1182fbec", "http://www.mendeley.com/documents/?uuid=33c3b621-5202-471d-9020-a2b1e7665331" ] } ], "mendeley" : { "formattedCitation" : "(Taylor &lt;i&gt;et al.&lt;/i&gt; 2010)", "plainTextFormattedCitation" : "(Taylor et al. 2010)", "previouslyFormattedCitation" : "(Taylor &lt;i&gt;et al.&lt;/i&gt; 2010)" }, "properties" : {  }, "schema" : "https://github.com/citation-style-language/schema/raw/master/csl-citation.json" }</w:instrText>
      </w:r>
      <w:r w:rsidR="006D1A44">
        <w:fldChar w:fldCharType="separate"/>
      </w:r>
      <w:r w:rsidR="009B58D3" w:rsidRPr="009B58D3">
        <w:rPr>
          <w:noProof/>
        </w:rPr>
        <w:t xml:space="preserve">(Taylor </w:t>
      </w:r>
      <w:r w:rsidR="009B58D3" w:rsidRPr="009B58D3">
        <w:rPr>
          <w:i/>
          <w:noProof/>
        </w:rPr>
        <w:t>et al.</w:t>
      </w:r>
      <w:r w:rsidR="009B58D3" w:rsidRPr="009B58D3">
        <w:rPr>
          <w:noProof/>
        </w:rPr>
        <w:t xml:space="preserve"> 2010)</w:t>
      </w:r>
      <w:r w:rsidR="006D1A44">
        <w:fldChar w:fldCharType="end"/>
      </w:r>
      <w:r w:rsidR="00EA6F21">
        <w:t xml:space="preserve"> and the World Organization for Animal Health</w:t>
      </w:r>
      <w:r w:rsidR="00637367">
        <w:t xml:space="preserve"> </w:t>
      </w:r>
      <w:r w:rsidR="006D1A44">
        <w:fldChar w:fldCharType="begin" w:fldLock="1"/>
      </w:r>
      <w:r w:rsidR="00C242BD">
        <w:instrText>ADDIN CSL_CITATION { "citationItems" : [ { "id" : "ITEM-1", "itemData" : { "author" : [ { "dropping-particle" : "", "family" : "OIE", "given" : "", "non-dropping-particle" : "", "parse-names" : false, "suffix" : "" } ], "container-title" : "World Organization for Animal Health", "id" : "ITEM-1", "issued" : { "date-parts" : [ [ "2018" ] ] }, "title" : "OIE-Listed diseases, infections and infestations in force in 2018", "type" : "webpage" }, "uris" : [ "http://www.mendeley.com/documents/?uuid=c412b932-ad81-4af1-8cde-94c12b82ea67", "http://www.mendeley.com/documents/?uuid=65541939-358f-44aa-810f-8507aae161e5" ] } ], "mendeley" : { "formattedCitation" : "(OIE 2018)", "plainTextFormattedCitation" : "(OIE 2018)", "previouslyFormattedCitation" : "(OIE 2018)" }, "properties" : {  }, "schema" : "https://github.com/citation-style-language/schema/raw/master/csl-citation.json" }</w:instrText>
      </w:r>
      <w:r w:rsidR="006D1A44">
        <w:fldChar w:fldCharType="separate"/>
      </w:r>
      <w:r w:rsidR="00637367" w:rsidRPr="00637367">
        <w:rPr>
          <w:noProof/>
        </w:rPr>
        <w:t>(OIE 2018)</w:t>
      </w:r>
      <w:r w:rsidR="006D1A44">
        <w:fldChar w:fldCharType="end"/>
      </w:r>
      <w:r w:rsidR="002705DE">
        <w:t>.</w:t>
      </w:r>
      <w:r>
        <w:t xml:space="preserve"> </w:t>
      </w:r>
      <w:r w:rsidR="00946E39">
        <w:t xml:space="preserve">Selective breeding is a valuable tool </w:t>
      </w:r>
      <w:r w:rsidR="002705DE">
        <w:t>for contributing to sustainable</w:t>
      </w:r>
      <w:r w:rsidR="003E6310">
        <w:t xml:space="preserve"> food production through the</w:t>
      </w:r>
      <w:r w:rsidR="002705DE">
        <w:t xml:space="preserve"> prevention and management of infectious</w:t>
      </w:r>
      <w:r w:rsidR="00BD7A30">
        <w:t xml:space="preserve"> outbreaks in</w:t>
      </w:r>
      <w:r w:rsidR="002705DE">
        <w:t xml:space="preserve"> </w:t>
      </w:r>
      <w:r w:rsidR="000360BE">
        <w:t xml:space="preserve">a wide range of species </w:t>
      </w:r>
      <w:r w:rsidR="006D1A44">
        <w:fldChar w:fldCharType="begin" w:fldLock="1"/>
      </w:r>
      <w:r w:rsidR="00C242BD">
        <w:instrText>ADDIN CSL_CITATION { "citationItems" : [ { "id" : "ITEM-1", "itemData" : { "DOI" : "10.1016/j.livsci.2014.04.034", "ISSN" : "1871-1413", "PMID" : "26339300", "abstract" : "This paper considers the application of genetic and genomic techniques to disease resistance, the interpretation of data arising from such studies and the utilisation of the research outcomes to breed animals for enhanced resistance. Resistance and tolerance are defined and contrasted, factors affecting the analysis and interpretation of field data presented, and appropriate experimental designs discussed. These general principles are then applied to two detailed case studies, infectious pancreatic necrosis in Atlantic salmon and bovine tuberculosis in dairy cattle, and the lessons learnt are considered in detail. It is concluded that the rate limiting step in disease genetic studies will generally be provision of adequate phenotypic data, and its interpretation, rather than the genomic resources. Lastly, the importance of cross-disciplinary dialogue between the animal health and animal genetics communities is stressed.", "author" : [ { "dropping-particle" : "", "family" : "Bishop", "given" : "Stephen C", "non-dropping-particle" : "", "parse-names" : false, "suffix" : "" }, { "dropping-particle" : "", "family" : "Woolliams", "given" : "John A", "non-dropping-particle" : "", "parse-names" : false, "suffix" : "" } ], "container-title" : "Livestock science", "id" : "ITEM-1", "issued" : { "date-parts" : [ [ "2014", "8" ] ] }, "page" : "190-198", "title" : "Genomics and disease resistance studies in livestock.", "type" : "article-journal", "volume" : "166" }, "uris" : [ "http://www.mendeley.com/documents/?uuid=62d6b05f-deca-45ca-9a4e-16c603d450d6", "http://www.mendeley.com/documents/?uuid=029e989a-e54a-4ac8-bcd5-9b55eca0a174" ] } ], "mendeley" : { "formattedCitation" : "(Bishop and Woolliams 2014)", "plainTextFormattedCitation" : "(Bishop and Woolliams 2014)", "previouslyFormattedCitation" : "(Bishop and Woolliams 2014)" }, "properties" : {  }, "schema" : "https://github.com/citation-style-language/schema/raw/master/csl-citation.json" }</w:instrText>
      </w:r>
      <w:r w:rsidR="006D1A44">
        <w:fldChar w:fldCharType="separate"/>
      </w:r>
      <w:r w:rsidR="000360BE" w:rsidRPr="000360BE">
        <w:rPr>
          <w:noProof/>
        </w:rPr>
        <w:t>(Bishop and Woolliams 2014)</w:t>
      </w:r>
      <w:r w:rsidR="006D1A44">
        <w:fldChar w:fldCharType="end"/>
      </w:r>
      <w:r w:rsidR="000360BE">
        <w:t>. T</w:t>
      </w:r>
      <w:r w:rsidR="009A7BCA">
        <w:t>h</w:t>
      </w:r>
      <w:r w:rsidR="002705DE">
        <w:t xml:space="preserve">is may be particularly true in aquaculture species, </w:t>
      </w:r>
      <w:r w:rsidR="009A7BCA">
        <w:t>due to</w:t>
      </w:r>
      <w:r w:rsidR="0041319A">
        <w:t xml:space="preserve"> moderate to high</w:t>
      </w:r>
      <w:r w:rsidR="009A7BCA">
        <w:t xml:space="preserve"> heritabilities of disease resistance documented in numerous cases </w:t>
      </w:r>
      <w:r w:rsidR="006D1A44">
        <w:fldChar w:fldCharType="begin" w:fldLock="1"/>
      </w:r>
      <w:r w:rsidR="00C242BD">
        <w:instrText>ADDIN CSL_CITATION { "citationItems" : [ { "id" : "ITEM-1", "itemData" : { "DOI" : "10.1111/j.1365-2109.2010.02669.x", "ISBN" : "1355557X", "ISSN" : "1355557X", "abstract" : "Resistance against specific diseases affecting aquaculture species often show moderate to high heritabilities, and there is thus a large potential for genetic improvement. However, genetic evaluation of disease resistance based on survival under challenge testing still face some challenges that may complicate both recording and statistical analysis of disease resistance, e.g., susceptibility and time until death may be different aspects of resistance, or survival may be an inadequate measure of resistance. Hence, for some diseases, more advanced statistical modelling and/or supplementing indicators besides survival would be an advantage. Furthermore, tested individuals are usually excluded as selection candidates as they might be potential disease carriers, and thus pose a health risk. Under classical selection, this restriction reduces both accuracy and intensity of selection, as little or nothing is known about how sib selection candidates deviate from the family means. Thus, selection methods allowing within-family selection are of particular importance in selection for improved disease resistance based on disease challenge testing. Examples of such methods are indirect selection on correlated traits measurable on selection candidates, selection on identified quantitative trait loci and genomic selection. In the future, genomic information has the potential to substantially improve selective breeding for disease resistance traits, given that this information can be acquired on a massive scale and at an affordable cost. \u00b8 2010 The Authors. Journal Compilation \u00b8 2010 Blackwell Publishing Ltd", "author" : [ { "dropping-particle" : "", "family" : "\u00d8deg\u00e5rd", "given" : "J\u00f8rgen", "non-dropping-particle" : "", "parse-names" : false, "suffix" : "" }, { "dropping-particle" : "", "family" : "Baranski", "given" : "Matthew", "non-dropping-particle" : "", "parse-names" : false, "suffix" : "" }, { "dropping-particle" : "", "family" : "Gjerde", "given" : "Bjarne", "non-dropping-particle" : "", "parse-names" : false, "suffix" : "" }, { "dropping-particle" : "", "family" : "Gjedrem", "given" : "Trygve", "non-dropping-particle" : "", "parse-names" : false, "suffix" : "" } ], "container-title" : "Aquaculture Research", "id" : "ITEM-1", "issue" : "SUPPL. 1", "issued" : { "date-parts" : [ [ "2011" ] ] }, "page" : "103-114", "title" : "Methodology for genetic evaluation of disease resistance in aquaculture species: Challenges and future prospects", "type" : "article-journal", "volume" : "42" }, "uris" : [ "http://www.mendeley.com/documents/?uuid=b774acee-b537-4a61-a0e6-8c3e9504573c", "http://www.mendeley.com/documents/?uuid=f01918ac-a00d-43c3-ae15-5036936bcdc4" ] }, { "id" : "ITEM-2", "itemData" : { "DOI" : "10.1590/S1806-92902017000600010", "ISSN" : "1806-9290", "abstract" : "-Infectious disease is a major constraint for all species produced via aquaculture. The majority of farmed fish and shellfish production is based on stocks with limited or no selective breeding. Since disease resistance is almost universally heritable, there is huge potential to select for improved resistance to key diseases. This short review discusses the current methods of breeding more resistant aquaculture stocks, with success stories and current bottlenecks highlighted. The current implementation of genomic selection in breeding for disease resistance and routes to wider-scale implementation and improvement in aquaculture are discussed. Future directions are highlighted, including the potential of genome editing tools for mapping causative variation underlying disease resistance traits and for breeding aquaculture animals with enhanced resistance to disease.", "author" : [ { "dropping-particle" : "", "family" : "Houston", "given" : "Ross D", "non-dropping-particle" : "", "parse-names" : false, "suffix" : "" }, { "dropping-particle" : "", "family" : "Brasileira De Zootecnia", "given" : "Revista", "non-dropping-particle" : "", "parse-names" : false, "suffix" : "" } ], "container-title" : "www.sbz.org.br R. Bras. Zootec", "id" : "ITEM-2", "issue" : "6", "issued" : { "date-parts" : [ [ "2017" ] ] }, "page" : "545-551", "title" : "Invited Review Future directions in breeding for disease resistance in aquaculture species", "type" : "article-journal", "volume" : "46" }, "uris" : [ "http://www.mendeley.com/documents/?uuid=5a7731d1-af89-3272-8092-aceb9663ef93", "http://www.mendeley.com/documents/?uuid=aff8521c-0644-4678-ad9a-1e981e482335" ] } ], "mendeley" : { "formattedCitation" : "(\u00d8deg\u00e5rd &lt;i&gt;et al.&lt;/i&gt; 2011; Houston and Brasileira De Zootecnia 2017)", "manualFormatting" : "(\u00d8deg\u00e5rd et al. 2011; Houston 2017)", "plainTextFormattedCitation" : "(\u00d8deg\u00e5rd et al. 2011; Houston and Brasileira De Zootecnia 2017)", "previouslyFormattedCitation" : "(\u00d8deg\u00e5rd &lt;i&gt;et al.&lt;/i&gt; 2011; Houston and Brasileira De Zootecnia 2017)" }, "properties" : {  }, "schema" : "https://github.com/citation-style-language/schema/raw/master/csl-citation.json" }</w:instrText>
      </w:r>
      <w:r w:rsidR="006D1A44">
        <w:fldChar w:fldCharType="separate"/>
      </w:r>
      <w:r w:rsidR="003273E8" w:rsidRPr="003273E8">
        <w:rPr>
          <w:noProof/>
        </w:rPr>
        <w:t xml:space="preserve">(Ødegård </w:t>
      </w:r>
      <w:r w:rsidR="003273E8" w:rsidRPr="003273E8">
        <w:rPr>
          <w:i/>
          <w:noProof/>
        </w:rPr>
        <w:t>et al.</w:t>
      </w:r>
      <w:r w:rsidR="003273E8" w:rsidRPr="003273E8">
        <w:rPr>
          <w:noProof/>
        </w:rPr>
        <w:t xml:space="preserve"> 2011; Hous</w:t>
      </w:r>
      <w:r w:rsidR="003273E8">
        <w:rPr>
          <w:noProof/>
        </w:rPr>
        <w:t xml:space="preserve">ton </w:t>
      </w:r>
      <w:r w:rsidR="003273E8" w:rsidRPr="003273E8">
        <w:rPr>
          <w:noProof/>
        </w:rPr>
        <w:t>2017)</w:t>
      </w:r>
      <w:r w:rsidR="006D1A44">
        <w:fldChar w:fldCharType="end"/>
      </w:r>
      <w:r w:rsidR="00EA6F21">
        <w:t>, and successful examples of disease control using</w:t>
      </w:r>
      <w:r w:rsidR="00EE75D6">
        <w:t xml:space="preserve"> marker-assisted breeding</w:t>
      </w:r>
      <w:r w:rsidR="00EA6F21">
        <w:t>, e.g. the case of the IPN virus in Atlantic salmon</w:t>
      </w:r>
      <w:r w:rsidR="00B64061">
        <w:t xml:space="preserve">; </w:t>
      </w:r>
      <w:r w:rsidR="00B64061" w:rsidRPr="002618BB">
        <w:rPr>
          <w:i/>
        </w:rPr>
        <w:t>Salmo salar</w:t>
      </w:r>
      <w:r w:rsidR="00455E6C">
        <w:t xml:space="preserve"> </w:t>
      </w:r>
      <w:r w:rsidR="006D1A44">
        <w:fldChar w:fldCharType="begin" w:fldLock="1"/>
      </w:r>
      <w:r w:rsidR="00DC0DAF">
        <w:instrText>ADDIN CSL_CITATION { "citationItems" : [ { "id" : "ITEM-1", "itemData" : { "DOI" : "10.1534/genetics.107.082974", "ISBN" : "0016-6731", "ISSN" : "00166731", "PMID" : "18245341", "abstract" : "Infectious pancreatic necrosis (IPN) is a viral disease currently presenting a major problem in the production of Atlantic salmon (Salmon salar). IPN can cause significant mortality to salmon fry within freshwater hatcheries and to smolts following transfer to seawater, although challenged populations show clear genetic variation in resistance. To determine whether this genetic variation includes loci of major effect, a genomewide quantitative trait loci (QTL) scan was performed within 10 full-sib families that had received a natural seawater IPN challenge. To utilize the large difference between Atlantic salmon male and female recombination rates, a two-stage mapping strategy was employed. Initially, a sire-based QTL analysis was used to detect linkage groups with significant effects on IPN resistance, using two to three microsatellite markers per linkage group. A dam-based analysis with additional markers was then used to confirm and position any detected QTL. Two genomewide significant QTL and one suggestive QTL were detected in the genome scan. The most significant QTL was mapped to linkage group 21 and was significant at the genomewide level in both the sire and the dam-based analyses. The identified QTL can be applied in marker-assisted selection programs to improve the resistance of salmon to IPN and reduce disease-related mortality.", "author" : [ { "dropping-particle" : "", "family" : "Houston", "given" : "Ross D.", "non-dropping-particle" : "", "parse-names" : false, "suffix" : "" }, { "dropping-particle" : "", "family" : "Haley", "given" : "Chris S.", "non-dropping-particle" : "", "parse-names" : false, "suffix" : "" }, { "dropping-particle" : "", "family" : "Hamilton", "given" : "Alastair", "non-dropping-particle" : "", "parse-names" : false, "suffix" : "" }, { "dropping-particle" : "", "family" : "Guy", "given" : "Derrick R.", "non-dropping-particle" : "", "parse-names" : false, "suffix" : "" }, { "dropping-particle" : "", "family" : "Tinch", "given" : "Alan E.", "non-dropping-particle" : "", "parse-names" : false, "suffix" : "" }, { "dropping-particle" : "", "family" : "Taggart", "given" : "John B.", "non-dropping-particle" : "", "parse-names" : false, "suffix" : "" }, { "dropping-particle" : "", "family" : "McAndrew", "given" : "Brendan J.", "non-dropping-particle" : "", "parse-names" : false, "suffix" : "" }, { "dropping-particle" : "", "family" : "Bishop", "given" : "Stephen C.", "non-dropping-particle" : "", "parse-names" : false, "suffix" : "" } ], "container-title" : "Genetics", "id" : "ITEM-1", "issue" : "2", "issued" : { "date-parts" : [ [ "2008" ] ] }, "page" : "1109-1115", "title" : "Major quantitative trait loci affect resistance to infectious pancreatic necrosis in Atlantic salmon (Salmo salar)", "type" : "article-journal", "volume" : "178" }, "uris" : [ "http://www.mendeley.com/documents/?uuid=f78d770b-bdda-48f4-a2b0-0c19d586d4fe" ] }, { "id" : "ITEM-2", "itemData" : { "DOI" : "10.1186/1471-2164-10-368", "ISSN" : "1471-2164", "abstract" : "Infectious pancreatic necrosis (IPN) is one of the most prevalent and economically devastating diseases in Atlantic salmon (Salmo salar) farming worldwide. The disease causes large mortalities at both the fry- and post-smolt stages. Family selection for increased IPN resistance is performed through the use of controlled challenge tests, where survival rates of sib-groups are recorded. However, since challenge-tested animals cannot be used as breeding candidates, within-family selection is not performed and only half of the genetic variation for IPN resistance is being exploited. DNA markers linked to quantitative trait loci (QTL) affecting IPN resistance would therefore be a powerful selection tool. The aim of this study was to identify and fine-map QTL for IPN-resistance in Atlantic salmon, for use in marker-assisted selection to increase the rate of genetic improvement for this trait. A genome scan was carried out using 10 large full-sib families of challenge-tested Atlantic salmon post-smolts and microsatellite markers distributed across the genome. One major QTL for IPN-resistance was detected, explaining 29% and 83% of the phenotypic and genetic variances, respectively. This QTL mapped to the same location as a QTL recently detected in a Scottish Atlantic salmon population. The QTL was found to be segregating in 10 out of 20 mapping parents, and subsequent fine-mapping with additional markers narrowed the QTL peak to a 4 cM region on linkage group 21. Challenge-tested fry were used to show that the QTL had the same effect on fry as on post-smolt, with the confidence interval for QTL position in fry overlapping the confidence interval found in post-smolts. A total of 178 parents were tested for segregation of the QTL, identifying 72 QTL-heterozygous parents. Genotypes at QTL-heterozygous parents were used to determine linkage phases between alleles at the underlying DNA polymorphism and alleles at single markers or multi-marker haplotypes. One four-marker haplotype was found to be the best predictor of QTL alleles, and was successfully used to deduce genotypes of the underlying polymorphism in 72% of the parents of the next generation within a breeding nucleus. A highly significant population-level correlation was found between deduced alleles at the underlying polymorphism and survival of offspring groups in the fry challenge test, parents with the three deduced genotypes (QQ, Qq, qq) having mean offspring mortality rates of 0.13, 0.32, and 0.49, r\u2026", "author" : [ { "dropping-particle" : "", "family" : "Moen", "given" : "Thomas", "non-dropping-particle" : "", "parse-names" : false, "suffix" : "" }, { "dropping-particle" : "", "family" : "Baranski", "given" : "Matthew", "non-dropping-particle" : "", "parse-names" : false, "suffix" : "" }, { "dropping-particle" : "", "family" : "Sonesson", "given" : "Anna K", "non-dropping-particle" : "", "parse-names" : false, "suffix" : "" }, { "dropping-particle" : "", "family" : "Kj\u00f8glum", "given" : "Sissel", "non-dropping-particle" : "", "parse-names" : false, "suffix" : "" } ], "container-title" : "BMC Genomics", "id" : "ITEM-2", "issue" : "1", "issued" : { "date-parts" : [ [ "2009", "8", "7" ] ] }, "page" : "368", "publisher" : "BioMed Central", "title" : "Confirmation and fine-mapping of a major QTL for resistance to infectious pancreatic necrosis in Atlantic salmon (Salmo salar): population-level associations between markers and trait", "type" : "article-journal", "volume" : "10" }, "uris" : [ "http://www.mendeley.com/documents/?uuid=18b9431e-fa58-3251-9561-d47078e73715" ] } ], "mendeley" : { "formattedCitation" : "(Houston &lt;i&gt;et al.&lt;/i&gt; 2008; Moen &lt;i&gt;et al.&lt;/i&gt; 2009)", "plainTextFormattedCitation" : "(Houston et al. 2008; Moen et al. 2009)", "previouslyFormattedCitation" : "(Houston &lt;i&gt;et al.&lt;/i&gt; 2008; Moen &lt;i&gt;et al.&lt;/i&gt; 2009)" }, "properties" : {  }, "schema" : "https://github.com/citation-style-language/schema/raw/master/csl-citation.json" }</w:instrText>
      </w:r>
      <w:r w:rsidR="006D1A44">
        <w:fldChar w:fldCharType="separate"/>
      </w:r>
      <w:r w:rsidR="00DC0DAF" w:rsidRPr="00DC0DAF">
        <w:rPr>
          <w:noProof/>
        </w:rPr>
        <w:t xml:space="preserve">(Houston </w:t>
      </w:r>
      <w:r w:rsidR="00DC0DAF" w:rsidRPr="00DC0DAF">
        <w:rPr>
          <w:i/>
          <w:noProof/>
        </w:rPr>
        <w:t>et al.</w:t>
      </w:r>
      <w:r w:rsidR="00DC0DAF" w:rsidRPr="00DC0DAF">
        <w:rPr>
          <w:noProof/>
        </w:rPr>
        <w:t xml:space="preserve"> 2008; Moen </w:t>
      </w:r>
      <w:r w:rsidR="00DC0DAF" w:rsidRPr="00DC0DAF">
        <w:rPr>
          <w:i/>
          <w:noProof/>
        </w:rPr>
        <w:t>et al.</w:t>
      </w:r>
      <w:r w:rsidR="00DC0DAF" w:rsidRPr="00DC0DAF">
        <w:rPr>
          <w:noProof/>
        </w:rPr>
        <w:t xml:space="preserve"> 2009)</w:t>
      </w:r>
      <w:r w:rsidR="006D1A44">
        <w:fldChar w:fldCharType="end"/>
      </w:r>
      <w:r w:rsidR="0041319A">
        <w:t xml:space="preserve">. </w:t>
      </w:r>
    </w:p>
    <w:p w14:paraId="23016AFC" w14:textId="2AC54EEE" w:rsidR="0014472E" w:rsidRDefault="00EA6F21" w:rsidP="00D62B6E">
      <w:pPr>
        <w:spacing w:line="480" w:lineRule="auto"/>
        <w:jc w:val="both"/>
      </w:pPr>
      <w:r>
        <w:lastRenderedPageBreak/>
        <w:t xml:space="preserve">Several studies have investigated </w:t>
      </w:r>
      <w:r w:rsidR="0072577E">
        <w:t xml:space="preserve">the genetic basis of </w:t>
      </w:r>
      <w:r w:rsidR="0041319A">
        <w:t xml:space="preserve">KHV </w:t>
      </w:r>
      <w:r w:rsidR="00FF4A07">
        <w:t xml:space="preserve">resistance in carp </w:t>
      </w:r>
      <w:r w:rsidR="002808C4">
        <w:t xml:space="preserve">(utilizing </w:t>
      </w:r>
      <w:r w:rsidR="0072577E">
        <w:t xml:space="preserve">data and samples collected </w:t>
      </w:r>
      <w:r w:rsidR="002808C4">
        <w:t xml:space="preserve">from </w:t>
      </w:r>
      <w:r w:rsidR="0072577E">
        <w:t xml:space="preserve">disease </w:t>
      </w:r>
      <w:r w:rsidR="002808C4">
        <w:t>challenge trials)</w:t>
      </w:r>
      <w:r w:rsidR="00336F50">
        <w:t>,</w:t>
      </w:r>
      <w:r w:rsidR="0041319A">
        <w:t xml:space="preserve"> </w:t>
      </w:r>
      <w:r w:rsidR="00336F50">
        <w:t xml:space="preserve">showing </w:t>
      </w:r>
      <w:r w:rsidR="0041319A">
        <w:t>encouraging results with large</w:t>
      </w:r>
      <w:r w:rsidR="00336F50">
        <w:t xml:space="preserve"> variation in survival</w:t>
      </w:r>
      <w:r w:rsidR="008A0B3D">
        <w:t xml:space="preserve"> both</w:t>
      </w:r>
      <w:r w:rsidR="0041319A">
        <w:t xml:space="preserve"> </w:t>
      </w:r>
      <w:r w:rsidR="004A066C">
        <w:t xml:space="preserve">between-family </w:t>
      </w:r>
      <w:r w:rsidR="006D1A44">
        <w:fldChar w:fldCharType="begin" w:fldLock="1"/>
      </w:r>
      <w:r w:rsidR="003C328F">
        <w:instrText>ADDIN CSL_CITATION { "citationItems" : [ { "id" : "ITEM-1", "itemData" : { "DOI" : "10.1111/j.1365-2761.2009.01081.x", "ISSN" : "01407775", "author" : [ { "dropping-particle" : "", "family" : "Dixon", "given" : "P F", "non-dropping-particle" : "", "parse-names" : false, "suffix" : "" }, { "dropping-particle" : "", "family" : "Joiner", "given" : "C L", "non-dropping-particle" : "", "parse-names" : false, "suffix" : "" }, { "dropping-particle" : "", "family" : "Way", "given" : "K", "non-dropping-particle" : "", "parse-names" : false, "suffix" : "" }, { "dropping-particle" : "", "family" : "Reese", "given" : "R A", "non-dropping-particle" : "", "parse-names" : false, "suffix" : "" }, { "dropping-particle" : "", "family" : "Jeney", "given" : "G", "non-dropping-particle" : "", "parse-names" : false, "suffix" : "" }, { "dropping-particle" : "", "family" : "Jeney", "given" : "Z", "non-dropping-particle" : "", "parse-names" : false, "suffix" : "" } ], "container-title" : "Journal of Fish Diseases", "id" : "ITEM-1", "issue" : "12", "issued" : { "date-parts" : [ [ "2009", "12" ] ] }, "page" : "1035-1039", "publisher" : "Blackwell Publishing Ltd", "title" : "Comparison of the resistance of selected families of common carp, &lt;i&gt;Cyprinus carpio&lt;/i&gt; L., to koi herpesvirus: preliminary study", "type" : "article-journal", "volume" : "32" }, "uris" : [ "http://www.mendeley.com/documents/?uuid=550c057f-d8fc-31d9-bd9d-938f934fb459", "http://www.mendeley.com/documents/?uuid=77d24438-bd05-47d3-8c34-8823b36859bb" ] } ], "mendeley" : { "formattedCitation" : "(Dixon &lt;i&gt;et al.&lt;/i&gt; 2009)", "manualFormatting" : "(Dixon et al. 2009; Tadmor-Levi et al. 2017)", "plainTextFormattedCitation" : "(Dixon et al. 2009)", "previouslyFormattedCitation" : "(Dixon &lt;i&gt;et al.&lt;/i&gt; 2009)" }, "properties" : {  }, "schema" : "https://github.com/citation-style-language/schema/raw/master/csl-citation.json" }</w:instrText>
      </w:r>
      <w:r w:rsidR="006D1A44">
        <w:fldChar w:fldCharType="separate"/>
      </w:r>
      <w:r w:rsidR="0041319A" w:rsidRPr="0041319A">
        <w:rPr>
          <w:noProof/>
        </w:rPr>
        <w:t xml:space="preserve">(Dixon </w:t>
      </w:r>
      <w:r w:rsidR="0041319A" w:rsidRPr="0041319A">
        <w:rPr>
          <w:i/>
          <w:noProof/>
        </w:rPr>
        <w:t>et al.</w:t>
      </w:r>
      <w:r w:rsidR="0041319A" w:rsidRPr="0041319A">
        <w:rPr>
          <w:noProof/>
        </w:rPr>
        <w:t xml:space="preserve"> 2009</w:t>
      </w:r>
      <w:r w:rsidR="00DF0732">
        <w:rPr>
          <w:noProof/>
        </w:rPr>
        <w:t xml:space="preserve">; </w:t>
      </w:r>
      <w:r w:rsidR="00DF0732" w:rsidRPr="00D03551">
        <w:rPr>
          <w:noProof/>
        </w:rPr>
        <w:t>Tadmor-Levi et al. 2017</w:t>
      </w:r>
      <w:r w:rsidR="0041319A" w:rsidRPr="0041319A">
        <w:rPr>
          <w:noProof/>
        </w:rPr>
        <w:t>)</w:t>
      </w:r>
      <w:r w:rsidR="006D1A44">
        <w:fldChar w:fldCharType="end"/>
      </w:r>
      <w:r w:rsidR="00CD40F2">
        <w:t xml:space="preserve"> and </w:t>
      </w:r>
      <w:r w:rsidR="00FF4A07">
        <w:t>between</w:t>
      </w:r>
      <w:r w:rsidR="003846E8">
        <w:t xml:space="preserve"> </w:t>
      </w:r>
      <w:r w:rsidR="008A0B3D">
        <w:t>strain</w:t>
      </w:r>
      <w:r w:rsidR="00656973">
        <w:t xml:space="preserve"> </w:t>
      </w:r>
      <w:r w:rsidR="006D1A44">
        <w:fldChar w:fldCharType="begin" w:fldLock="1"/>
      </w:r>
      <w:r w:rsidR="00C242BD">
        <w:instrText>ADDIN CSL_CITATION { "citationItems" : [ { "id" : "ITEM-1", "itemData" : { "DOI" : "10.1016/J.AQUACULTURE.2004.11.038", "author" : [ { "dropping-particle" : "", "family" : "Shapira, Yechiam, Magen Yigal, Zak Tatyana, Kotler Mosche, Hulata Gideon", "given" : "Levavi-Sivan Berta", "non-dropping-particle" : "", "parse-names" : false, "suffix" : "" } ], "container-title" : "Aquaculture", "id" : "ITEM-1", "issue" : "1-4", "issued" : { "date-parts" : [ [ "2005", "3" ] ] }, "page" : "1-11", "publisher" : "Elsevier", "title" : "Differential resistance to koi herpes virus (KHV)/carp interstitial nephritis and gill necrosis virus (CNGV) among common carp (Cyprinus carpio L.) strains and crossbreds", "type" : "article-journal", "volume" : "245" }, "uris" : [ "http://www.mendeley.com/documents/?uuid=a1dc988e-484d-3943-9793-c752012990de", "http://www.mendeley.com/documents/?uuid=99ded7a5-86d2-4a79-a10c-b57e15e19235" ] }, { "id" : "ITEM-2", "itemData" : { "DOI" : "10.1111/jfd.12007", "ISSN" : "01407775", "author" : [ { "dropping-particle" : "", "family" : "Pia\u010dkov\u00e1", "given" : "V", "non-dropping-particle" : "", "parse-names" : false, "suffix" : "" }, { "dropping-particle" : "", "family" : "Flaj\u0161hans", "given" : "M", "non-dropping-particle" : "", "parse-names" : false, "suffix" : "" }, { "dropping-particle" : "", "family" : "Pokorov\u00e1", "given" : "D", "non-dropping-particle" : "", "parse-names" : false, "suffix" : "" }, { "dropping-particle" : "", "family" : "Reschov\u00e1", "given" : "S", "non-dropping-particle" : "", "parse-names" : false, "suffix" : "" }, { "dropping-particle" : "", "family" : "Gela", "given" : "D", "non-dropping-particle" : "", "parse-names" : false, "suffix" : "" }, { "dropping-particle" : "", "family" : "\u010c\u00ed\u017eek", "given" : "A", "non-dropping-particle" : "", "parse-names" : false, "suffix" : "" }, { "dropping-particle" : "", "family" : "Vesel\u00fd", "given" : "T", "non-dropping-particle" : "", "parse-names" : false, "suffix" : "" } ], "container-title" : "Journal of Fish Diseases", "id" : "ITEM-2", "issue" : "1", "issued" : { "date-parts" : [ [ "2013", "1" ] ] }, "page" : "75-80", "title" : "Sensitivity of common carp, &lt;i&gt;Cyprinus carpio&lt;/i&gt; L., strains and crossbreeds reared in the Czech Republic to infection by cyprinid herpesvirus 3 (CyHV-3; KHV)", "type" : "article-journal", "volume" : "36" }, "uris" : [ "http://www.mendeley.com/documents/?uuid=00a7d461-a986-3dd9-bbcc-ce5fb61e6211", "http://www.mendeley.com/documents/?uuid=3244c0f9-88d1-46c8-b5f9-3637fd8cd3f5" ] } ], "mendeley" : { "formattedCitation" : "(Shapira, Yechiam, Magen Yigal, Zak Tatyana, Kotler Mosche, Hulata Gideon 2005; Pia\u010dkov\u00e1 &lt;i&gt;et al.&lt;/i&gt; 2013)", "manualFormatting" : "(Shapira et al. 2005; Pia\u010dkov\u00e1 et al. 2013)", "plainTextFormattedCitation" : "(Shapira, Yechiam, Magen Yigal, Zak Tatyana, Kotler Mosche, Hulata Gideon 2005; Pia\u010dkov\u00e1 et al. 2013)", "previouslyFormattedCitation" : "(Shapira, Yechiam, Magen Yigal, Zak Tatyana, Kotler Mosche, Hulata Gideon 2005; Pia\u010dkov\u00e1 &lt;i&gt;et al.&lt;/i&gt; 2013)" }, "properties" : {  }, "schema" : "https://github.com/citation-style-language/schema/raw/master/csl-citation.json" }</w:instrText>
      </w:r>
      <w:r w:rsidR="006D1A44">
        <w:fldChar w:fldCharType="separate"/>
      </w:r>
      <w:r w:rsidR="00656973">
        <w:rPr>
          <w:noProof/>
        </w:rPr>
        <w:t xml:space="preserve">(Shapira </w:t>
      </w:r>
      <w:r w:rsidR="00656973" w:rsidRPr="00656973">
        <w:rPr>
          <w:i/>
          <w:noProof/>
        </w:rPr>
        <w:t>et al</w:t>
      </w:r>
      <w:r w:rsidR="00656973">
        <w:rPr>
          <w:i/>
          <w:noProof/>
        </w:rPr>
        <w:t>.</w:t>
      </w:r>
      <w:r w:rsidR="00656973" w:rsidRPr="00656973">
        <w:rPr>
          <w:noProof/>
        </w:rPr>
        <w:t xml:space="preserve"> 2005; Piačková </w:t>
      </w:r>
      <w:r w:rsidR="00656973" w:rsidRPr="00656973">
        <w:rPr>
          <w:i/>
          <w:noProof/>
        </w:rPr>
        <w:t>et al.</w:t>
      </w:r>
      <w:r w:rsidR="00656973" w:rsidRPr="00656973">
        <w:rPr>
          <w:noProof/>
        </w:rPr>
        <w:t xml:space="preserve"> 2013)</w:t>
      </w:r>
      <w:r w:rsidR="006D1A44">
        <w:fldChar w:fldCharType="end"/>
      </w:r>
      <w:r w:rsidR="0041319A">
        <w:t>.</w:t>
      </w:r>
      <w:r w:rsidR="00DF49E5">
        <w:t xml:space="preserve"> </w:t>
      </w:r>
      <w:r w:rsidR="003E6310">
        <w:t xml:space="preserve">Results from candidate gene </w:t>
      </w:r>
      <w:r w:rsidR="00EE75D6">
        <w:t xml:space="preserve">association </w:t>
      </w:r>
      <w:r w:rsidR="003E6310">
        <w:t xml:space="preserve">studies have suggested a possible role for </w:t>
      </w:r>
      <w:r w:rsidR="00EE75D6">
        <w:t xml:space="preserve">polymorphism in </w:t>
      </w:r>
      <w:r w:rsidR="003E6310">
        <w:t xml:space="preserve">MHC loci </w:t>
      </w:r>
      <w:r w:rsidR="006D1A44">
        <w:fldChar w:fldCharType="begin" w:fldLock="1"/>
      </w:r>
      <w:r w:rsidR="00C242BD">
        <w:instrText>ADDIN CSL_CITATION { "citationItems" : [ { "id" : "ITEM-1", "itemData" : { "DOI" : "10.1016/j.fsi.2009.03.001", "ISBN" : "00448486", "ISSN" : "1095-9947", "PMID" : "19328856", "abstract" : "The role of MH class II B (Cyca-DAB1-like) genes in resistance of common carp (Cyprinus carpio L.) to Cyprinid herpesvirus-3 (CyHV-3), also known as koi herpesvirus (KHV) was analysed. The material consisted of 934 fish from six carp crosses. Fish were challenged with CyHV-3 at an age of 7 and 10 months. During challenge experiments the peak of mortality caused by CyHV-3 was observed at days 8-12 p.i. and the overall cumulative mortality reached 79.9%. Among six Cyca-DAB1-like genotypes, revealed by PCR-RF-SSCP analysis, one genotype (E) was found associated with higher resistance to CyHV-3. Three other genotypes (B, H and J) could be linked to higher susceptibility to CyHV-3. Analysis of the alleles that compose the Cyca-DAB1-like genotypes linked one particular allele (Cyca-DAB1*05) to significantly increased, and two alleles (Cyca-DAB1*02 and Cyca-DAB1*06) to significantly decreased resistance to CyHV-3. Our data indicate that MH class II B genes could be used as potential genetic markers in breeding of common carp for resistance to this virus.", "author" : [ { "dropping-particle" : "", "family" : "Rakus", "given" : "Krzysztof \u0141", "non-dropping-particle" : "", "parse-names" : false, "suffix" : "" }, { "dropping-particle" : "", "family" : "Wiegertjes", "given" : "Geert F", "non-dropping-particle" : "", "parse-names" : false, "suffix" : "" }, { "dropping-particle" : "", "family" : "Adamek", "given" : "Miko\u0142aj", "non-dropping-particle" : "", "parse-names" : false, "suffix" : "" }, { "dropping-particle" : "", "family" : "Siwicki", "given" : "Andrzej K", "non-dropping-particle" : "", "parse-names" : false, "suffix" : "" }, { "dropping-particle" : "", "family" : "Lepa", "given" : "Agnieszka", "non-dropping-particle" : "", "parse-names" : false, "suffix" : "" }, { "dropping-particle" : "", "family" : "Irnazarow", "given" : "Ilgiz", "non-dropping-particle" : "", "parse-names" : false, "suffix" : "" } ], "container-title" : "Fish &amp; shellfish immunology", "id" : "ITEM-1", "issue" : "5", "issued" : { "date-parts" : [ [ "2009" ] ] }, "page" : "737-43", "title" : "Resistance of common carp (Cyprinus carpio L.) to Cyprinid herpesvirus-3 is influenced by major histocompatibility (MH) class II B gene polymorphism.", "type" : "article-journal", "volume" : "26" }, "uris" : [ "http://www.mendeley.com/documents/?uuid=01927288-3b30-4d34-838a-4a0d8525fc23", "http://www.mendeley.com/documents/?uuid=f24cb30d-af24-48db-a9b0-d3d495f30cf5" ] } ], "mendeley" : { "formattedCitation" : "(Rakus &lt;i&gt;et al.&lt;/i&gt; 2009)", "plainTextFormattedCitation" : "(Rakus et al. 2009)", "previouslyFormattedCitation" : "(Rakus &lt;i&gt;et al.&lt;/i&gt; 2009)" }, "properties" : {  }, "schema" : "https://github.com/citation-style-language/schema/raw/master/csl-citation.json" }</w:instrText>
      </w:r>
      <w:r w:rsidR="006D1A44">
        <w:fldChar w:fldCharType="separate"/>
      </w:r>
      <w:r w:rsidR="003E6310" w:rsidRPr="00B94AF2">
        <w:rPr>
          <w:noProof/>
        </w:rPr>
        <w:t xml:space="preserve">(Rakus </w:t>
      </w:r>
      <w:r w:rsidR="003E6310" w:rsidRPr="00B94AF2">
        <w:rPr>
          <w:i/>
          <w:noProof/>
        </w:rPr>
        <w:t>et al.</w:t>
      </w:r>
      <w:r w:rsidR="003E6310" w:rsidRPr="00B94AF2">
        <w:rPr>
          <w:noProof/>
        </w:rPr>
        <w:t xml:space="preserve"> 2009)</w:t>
      </w:r>
      <w:r w:rsidR="006D1A44">
        <w:fldChar w:fldCharType="end"/>
      </w:r>
      <w:r w:rsidR="003E6310">
        <w:t xml:space="preserve"> and Interleukin-11 </w:t>
      </w:r>
      <w:r w:rsidR="006D1A44">
        <w:fldChar w:fldCharType="begin" w:fldLock="1"/>
      </w:r>
      <w:r w:rsidR="00C242BD">
        <w:instrText>ADDIN CSL_CITATION { "citationItems" : [ { "id" : "ITEM-1", "itemData" : { "DOI" : "10.1016/j.aquaculture.2011.02.035", "ISBN" : "00448486", "ISSN" : "00448486", "abstract" : "Analysis of gene polymorphisms and disease association is essential for assessing putative candidate genes affecting susceptibility or resistance to disease. In this paper, we report the results of an association analysis between single nucleotide polymorphisms (SNPs) in common carp (Cyprinus carpio) innate immune response genes and resistance to cyprinid herpesvirus. -3 (CyHV. -3) infection. Twenty. -three SNPs from 14 genes were genotyped in the progeny of a full. -sib family, which was subjected to a CyHV. -3 challenge. The challenge was carried out by cohabitation of na\u00efve fish with CyHV. -3. -infected fish and the experimental fish subsequently were scored as susceptible or resistant. Fisher exact probability and chi. -square tests were used to assess the association of SNP genotypes or alleles with CyHV. -3 resistance. No association between SNPs in common carp immune response genes and resistance to CyHV. -3 was found, except for SNPs in IL-10a. For IL-10a, both heterozygous and homozygous fish carrying the GCG haplotype were more susceptible to CyHV. -3 infection (P&lt;. 0.001). To identify the source of susceptible and resistant alleles, we genotyped fish from the parental common carp strains. We found that the susceptible allele was more common among fish from the wild CyHV. -3. -resistant strain (Sassan) whereas the resistant allele was found in all the fish sampled from the susceptible domesticated strain (Na\u0161ice). The implications of our findings to the development of a domesticated CyHV. -3. -resistant stock through marker. -assisted selection or gene. -introgression, and the possible impact of the IL-10a polymorphisms we identified on susceptibility to CyHV. -3 infection in common carp are discussed. \u00a9 2011.", "author" : [ { "dropping-particle" : "", "family" : "Kongchum", "given" : "Pawapol", "non-dropping-particle" : "", "parse-names" : false, "suffix" : "" }, { "dropping-particle" : "", "family" : "Sandel", "given" : "Eran", "non-dropping-particle" : "", "parse-names" : false, "suffix" : "" }, { "dropping-particle" : "", "family" : "Lutzky", "given" : "Sigal", "non-dropping-particle" : "", "parse-names" : false, "suffix" : "" }, { "dropping-particle" : "", "family" : "Hallerman", "given" : "Eric M.", "non-dropping-particle" : "", "parse-names" : false, "suffix" : "" }, { "dropping-particle" : "", "family" : "Hulata", "given" : "Gideon", "non-dropping-particle" : "", "parse-names" : false, "suffix" : "" }, { "dropping-particle" : "", "family" : "David", "given" : "Lior", "non-dropping-particle" : "", "parse-names" : false, "suffix" : "" }, { "dropping-particle" : "", "family" : "Palti", "given" : "Yniv", "non-dropping-particle" : "", "parse-names" : false, "suffix" : "" } ], "container-title" : "Aquaculture", "id" : "ITEM-1", "issue" : "3-4", "issued" : { "date-parts" : [ [ "2011" ] ] }, "page" : "417-421", "title" : "Association between IL-10a single nucleotide polymorphisms and resistance to cyprinid herpesvirus-3 infection in common carp (Cyprinus carpio)", "type" : "article-journal", "volume" : "315" }, "uris" : [ "http://www.mendeley.com/documents/?uuid=2e3a36d0-aa44-4c79-b47f-918d4c9cb77f", "http://www.mendeley.com/documents/?uuid=68ef5448-8466-418a-ba30-0ef8a7051234" ] } ], "mendeley" : { "formattedCitation" : "(Kongchum &lt;i&gt;et al.&lt;/i&gt; 2011)", "plainTextFormattedCitation" : "(Kongchum et al. 2011)", "previouslyFormattedCitation" : "(Kongchum &lt;i&gt;et al.&lt;/i&gt; 2011)" }, "properties" : {  }, "schema" : "https://github.com/citation-style-language/schema/raw/master/csl-citation.json" }</w:instrText>
      </w:r>
      <w:r w:rsidR="006D1A44">
        <w:fldChar w:fldCharType="separate"/>
      </w:r>
      <w:r w:rsidR="003E6310" w:rsidRPr="00B94AF2">
        <w:rPr>
          <w:noProof/>
        </w:rPr>
        <w:t xml:space="preserve">(Kongchum </w:t>
      </w:r>
      <w:r w:rsidR="003E6310" w:rsidRPr="00B94AF2">
        <w:rPr>
          <w:i/>
          <w:noProof/>
        </w:rPr>
        <w:t>et al.</w:t>
      </w:r>
      <w:r w:rsidR="003E6310" w:rsidRPr="00B94AF2">
        <w:rPr>
          <w:noProof/>
        </w:rPr>
        <w:t xml:space="preserve"> 2011)</w:t>
      </w:r>
      <w:r w:rsidR="006D1A44">
        <w:fldChar w:fldCharType="end"/>
      </w:r>
      <w:r w:rsidR="003E6310">
        <w:t xml:space="preserve"> in host resistance to KHV. </w:t>
      </w:r>
      <w:r w:rsidR="00400153">
        <w:t>Taken together, these studies indicate</w:t>
      </w:r>
      <w:r w:rsidR="004B2520">
        <w:t xml:space="preserve"> that selective breeding has</w:t>
      </w:r>
      <w:r w:rsidR="00400153">
        <w:t xml:space="preserve"> </w:t>
      </w:r>
      <w:r w:rsidR="00FA684F">
        <w:t>th</w:t>
      </w:r>
      <w:r w:rsidR="004A066C">
        <w:t xml:space="preserve">e potential </w:t>
      </w:r>
      <w:r w:rsidR="004B2520">
        <w:t xml:space="preserve">to increase </w:t>
      </w:r>
      <w:r w:rsidR="004A066C">
        <w:t xml:space="preserve">resistance to KHV, with </w:t>
      </w:r>
      <w:r w:rsidR="00EE75D6">
        <w:t xml:space="preserve">potential </w:t>
      </w:r>
      <w:r w:rsidR="004A066C">
        <w:t>downstream benefits for the carp aquaculture industry</w:t>
      </w:r>
      <w:r w:rsidR="004B2520">
        <w:t xml:space="preserve"> and fish welfare</w:t>
      </w:r>
      <w:r w:rsidR="00FA684F">
        <w:t>.</w:t>
      </w:r>
      <w:r w:rsidR="00400153">
        <w:t xml:space="preserve"> However, to date, genome-wide </w:t>
      </w:r>
      <w:r w:rsidR="00336F50">
        <w:t>polymorphism</w:t>
      </w:r>
      <w:r w:rsidR="00E21C89">
        <w:t>s</w:t>
      </w:r>
      <w:r w:rsidR="00336F50">
        <w:t xml:space="preserve"> </w:t>
      </w:r>
      <w:r w:rsidR="00400153">
        <w:t>have not been applied to investigate the genetic architecture of resistance</w:t>
      </w:r>
      <w:r w:rsidR="00EE75D6">
        <w:t xml:space="preserve"> to KHV</w:t>
      </w:r>
      <w:r w:rsidR="00914E8F">
        <w:t>.</w:t>
      </w:r>
      <w:r w:rsidR="00400153">
        <w:t xml:space="preserve"> </w:t>
      </w:r>
    </w:p>
    <w:p w14:paraId="08721280" w14:textId="77777777" w:rsidR="00E23BEA" w:rsidRDefault="00E23BEA" w:rsidP="00412566">
      <w:pPr>
        <w:spacing w:line="480" w:lineRule="auto"/>
        <w:jc w:val="both"/>
        <w:rPr>
          <w:bCs/>
        </w:rPr>
      </w:pPr>
    </w:p>
    <w:p w14:paraId="1B3C80E2" w14:textId="63F38E23" w:rsidR="00210D57" w:rsidRDefault="008F5FC7" w:rsidP="00412566">
      <w:pPr>
        <w:spacing w:line="480" w:lineRule="auto"/>
        <w:jc w:val="both"/>
      </w:pPr>
      <w:r w:rsidRPr="00AE50C2">
        <w:rPr>
          <w:bCs/>
        </w:rPr>
        <w:t xml:space="preserve">The </w:t>
      </w:r>
      <w:r w:rsidR="000D704F">
        <w:rPr>
          <w:bCs/>
        </w:rPr>
        <w:t xml:space="preserve">main </w:t>
      </w:r>
      <w:r w:rsidRPr="00AE50C2">
        <w:rPr>
          <w:bCs/>
        </w:rPr>
        <w:t>aim of this study was to investigate geneti</w:t>
      </w:r>
      <w:r>
        <w:rPr>
          <w:bCs/>
        </w:rPr>
        <w:t xml:space="preserve">c resistance to </w:t>
      </w:r>
      <w:r w:rsidR="00E76B1C">
        <w:rPr>
          <w:bCs/>
        </w:rPr>
        <w:t>KHV</w:t>
      </w:r>
      <w:r>
        <w:rPr>
          <w:bCs/>
        </w:rPr>
        <w:t xml:space="preserve"> in </w:t>
      </w:r>
      <w:r w:rsidR="00E76B1C">
        <w:rPr>
          <w:bCs/>
        </w:rPr>
        <w:t xml:space="preserve">common carp </w:t>
      </w:r>
      <w:r w:rsidRPr="00AE50C2">
        <w:rPr>
          <w:bCs/>
        </w:rPr>
        <w:t xml:space="preserve">using </w:t>
      </w:r>
      <w:r w:rsidR="00A03DF1">
        <w:t>r</w:t>
      </w:r>
      <w:r w:rsidR="00E44206" w:rsidRPr="00090D94">
        <w:t>estriction-site associated DNA</w:t>
      </w:r>
      <w:r w:rsidR="00E44206">
        <w:t xml:space="preserve"> </w:t>
      </w:r>
      <w:r w:rsidR="00E44206" w:rsidRPr="00090D94">
        <w:t>sequencing (RAD</w:t>
      </w:r>
      <w:r w:rsidR="00E44206">
        <w:t>seq</w:t>
      </w:r>
      <w:r w:rsidR="00E44206" w:rsidRPr="00090D94">
        <w:t>)</w:t>
      </w:r>
      <w:r w:rsidR="00A03DF1">
        <w:t xml:space="preserve"> to generate genome-wide SNP markers</w:t>
      </w:r>
      <w:r w:rsidR="00C242BD">
        <w:t xml:space="preserve"> </w:t>
      </w:r>
      <w:r w:rsidR="006D1A44">
        <w:fldChar w:fldCharType="begin" w:fldLock="1"/>
      </w:r>
      <w:r w:rsidR="00C242BD">
        <w:instrText>ADDIN CSL_CITATION { "citationItems" : [ { "id" : "ITEM-1", "itemData" : { "DOI" : "10.3389/FGENE.2018.00082", "ISSN" : "1664-8021", "abstract" : "Cyprinids are the most important farmed fish globally in terms of production volume, with common carp (Cyprinus carpio) being one of the most valuable species of the group. The use of modern selective breeding methods in carp is at a formative stage, implying a large scope for genetic improvement of key production traits. In the current study, a population of 1,425 carp juveniles, originating from a partial factorial cross between 40 sires and 20 dams, was used for investigating the potential of genomic selection for juvenile growth, an example complex production trait. RAD sequencing was used to identify and genotype SNP markers for performing parentage assignment, construction of a medium density genetic map (12,311 SNPs), genome wide association (GWAS) and genomic selection (GS). A moderate heritability was estimated for body length of carp at 120 days (as a proxy of juvenile growth) of 0.33 (s.e. 0.05). No genome-wide significant QTL were identified using a single marker GWAS approach. Genomic prediction of breeding values outperformed pedigree based prediction, resulting in 25% improvement in prediction accuracy. A reduction in SNP density lowered genomic prediction accuracy, although it still outperformed pedigree-based prediction. These results point to the potential for GS to improve economically-important traits in common carp breeding programs.", "author" : [ { "dropping-particle" : "", "family" : "Palaiokostas", "given" : "Christos", "non-dropping-particle" : "", "parse-names" : false, "suffix" : "" }, { "dropping-particle" : "", "family" : "Kocour", "given" : "Martin", "non-dropping-particle" : "", "parse-names" : false, "suffix" : "" }, { "dropping-particle" : "", "family" : "Prchal", "given" : "Martin", "non-dropping-particle" : "", "parse-names" : false, "suffix" : "" }, { "dropping-particle" : "", "family" : "Houston", "given" : "Ross D", "non-dropping-particle" : "", "parse-names" : false, "suffix" : "" } ], "container-title" : "Frontiers in Genetics", "id" : "ITEM-1", "issued" : { "date-parts" : [ [ "2018" ] ] }, "page" : "82", "publisher" : "Frontiers", "title" : "Accuracy of genomic evaluations of juvenile growth rate in common carp (Cyprinus carpio) using genotyping by sequencing", "type" : "article-journal", "volume" : "9" }, "uris" : [ "http://www.mendeley.com/documents/?uuid=ae06102f-3b85-3791-9689-9d773e2edbcd" ] } ], "mendeley" : { "formattedCitation" : "(Palaiokostas &lt;i&gt;et al.&lt;/i&gt; 2018)", "plainTextFormattedCitation" : "(Palaiokostas et al. 2018)", "previouslyFormattedCitation" : "(Palaiokostas &lt;i&gt;et al.&lt;/i&gt; 2018)" }, "properties" : {  }, "schema" : "https://github.com/citation-style-language/schema/raw/master/csl-citation.json" }</w:instrText>
      </w:r>
      <w:r w:rsidR="006D1A44">
        <w:fldChar w:fldCharType="separate"/>
      </w:r>
      <w:r w:rsidR="00C242BD" w:rsidRPr="00C242BD">
        <w:rPr>
          <w:noProof/>
        </w:rPr>
        <w:t xml:space="preserve">(Palaiokostas </w:t>
      </w:r>
      <w:r w:rsidR="00C242BD" w:rsidRPr="00C242BD">
        <w:rPr>
          <w:i/>
          <w:noProof/>
        </w:rPr>
        <w:t>et al.</w:t>
      </w:r>
      <w:r w:rsidR="00C242BD" w:rsidRPr="00C242BD">
        <w:rPr>
          <w:noProof/>
        </w:rPr>
        <w:t xml:space="preserve"> 2018)</w:t>
      </w:r>
      <w:r w:rsidR="006D1A44">
        <w:fldChar w:fldCharType="end"/>
      </w:r>
      <w:r w:rsidRPr="00AE50C2">
        <w:rPr>
          <w:bCs/>
        </w:rPr>
        <w:t>.</w:t>
      </w:r>
      <w:r w:rsidR="00E44206" w:rsidRPr="00090D94">
        <w:t xml:space="preserve"> </w:t>
      </w:r>
      <w:r w:rsidR="00E44206">
        <w:t xml:space="preserve">RADseq </w:t>
      </w:r>
      <w:r w:rsidR="006D1A44">
        <w:fldChar w:fldCharType="begin" w:fldLock="1"/>
      </w:r>
      <w:r w:rsidR="00C242BD">
        <w:instrText>ADDIN CSL_CITATION { "citationItems" : [ { "id" : "ITEM-1", "itemData" : { "DOI" : "10.1371/journal.pone.0003376", "ISSN" : "1932-6203", "PMID" : "18852878", "abstract" : "Single nucleotide polymorphism (SNP) discovery and genotyping are essential to genetic mapping. There remains a need for a simple, inexpensive platform that allows high-density SNP discovery and genotyping in large populations. Here we describe the sequencing of restriction-site associated DNA (RAD) tags, which identified more than 13,000 SNPs, and mapped three traits in two model organisms, using less than half the capacity of one Illumina sequencing run. We demonstrated that different marker densities can be attained by choice of restriction enzyme. Furthermore, we developed a barcoding system for sample multiplexing and fine mapped the genetic basis of lateral plate armor loss in threespine stickleback by identifying recombinant breakpoints in F(2) individuals. Barcoding also facilitated mapping of a second trait, a reduction of pelvic structure, by in silico re-sorting of individuals. To further demonstrate the ease of the RAD sequencing approach we identified polymorphic markers and mapped an induced mutation in Neurospora crassa. Sequencing of RAD markers is an integrated platform for SNP discovery and genotyping. This approach should be widely applicable to genetic mapping in a variety of organisms.", "author" : [ { "dropping-particle" : "", "family" : "Baird", "given" : "Nathan a", "non-dropping-particle" : "", "parse-names" : false, "suffix" : "" }, { "dropping-particle" : "", "family" : "Etter", "given" : "Paul D", "non-dropping-particle" : "", "parse-names" : false, "suffix" : "" }, { "dropping-particle" : "", "family" : "Atwood", "given" : "Tressa S", "non-dropping-particle" : "", "parse-names" : false, "suffix" : "" }, { "dropping-particle" : "", "family" : "Currey", "given" : "Mark C", "non-dropping-particle" : "", "parse-names" : false, "suffix" : "" }, { "dropping-particle" : "", "family" : "Shiver", "given" : "Anthony L", "non-dropping-particle" : "", "parse-names" : false, "suffix" : "" }, { "dropping-particle" : "", "family" : "Lewis", "given" : "Zachary a", "non-dropping-particle" : "", "parse-names" : false, "suffix" : "" }, { "dropping-particle" : "", "family" : "Selker", "given" : "Eric U", "non-dropping-particle" : "", "parse-names" : false, "suffix" : "" }, { "dropping-particle" : "", "family" : "Cresko", "given" : "William a", "non-dropping-particle" : "", "parse-names" : false, "suffix" : "" }, { "dropping-particle" : "", "family" : "Johnson", "given" : "Eric a", "non-dropping-particle" : "", "parse-names" : false, "suffix" : "" } ], "container-title" : "PloS one", "id" : "ITEM-1", "issue" : "10", "issued" : { "date-parts" : [ [ "2008", "1" ] ] }, "page" : "e3376", "title" : "Rapid SNP discovery and genetic mapping using sequenced RAD markers.", "type" : "article-journal", "volume" : "3" }, "uris" : [ "http://www.mendeley.com/documents/?uuid=a04e10ee-8ec8-47b9-90dc-eb8bf05842de", "http://www.mendeley.com/documents/?uuid=5a851590-d3a6-4bed-98d6-f924a0f71121" ] } ], "mendeley" : { "formattedCitation" : "(Baird &lt;i&gt;et al.&lt;/i&gt; 2008)", "plainTextFormattedCitation" : "(Baird et al. 2008)", "previouslyFormattedCitation" : "(Baird &lt;i&gt;et al.&lt;/i&gt; 2008)" }, "properties" : {  }, "schema" : "https://github.com/citation-style-language/schema/raw/master/csl-citation.json" }</w:instrText>
      </w:r>
      <w:r w:rsidR="006D1A44">
        <w:fldChar w:fldCharType="separate"/>
      </w:r>
      <w:r w:rsidR="00E44206" w:rsidRPr="00E67878">
        <w:rPr>
          <w:noProof/>
        </w:rPr>
        <w:t xml:space="preserve">(Baird </w:t>
      </w:r>
      <w:r w:rsidR="00E44206" w:rsidRPr="00E67878">
        <w:rPr>
          <w:i/>
          <w:noProof/>
        </w:rPr>
        <w:t>et al.</w:t>
      </w:r>
      <w:r w:rsidR="00E44206" w:rsidRPr="00E67878">
        <w:rPr>
          <w:noProof/>
        </w:rPr>
        <w:t xml:space="preserve"> 2008)</w:t>
      </w:r>
      <w:r w:rsidR="006D1A44">
        <w:fldChar w:fldCharType="end"/>
      </w:r>
      <w:r w:rsidR="00E44206">
        <w:t xml:space="preserve"> and similar genotyping by sequencing techniques have been widely applied due to their cost-efficiency in a wide range of aquaculture species </w:t>
      </w:r>
      <w:r w:rsidR="006D1A44">
        <w:fldChar w:fldCharType="begin" w:fldLock="1"/>
      </w:r>
      <w:r w:rsidR="00C242BD">
        <w:instrText>ADDIN CSL_CITATION { "citationItems" : [ { "id" : "ITEM-1", "itemData" : { "DOI" : "10.1111/raq.12193", "ISSN" : "17535131", "abstract" : "Selective breeding is increasingly recognized as a key component of sustainable production of aquaculture species. The uptake of genomic technology in aquaculture breeding has traditionally lagged behind terrestrial farmed animals. However, the rapid development and application of sequencing technologies has allowed aquaculture to narrow the gap, leading to substantial genomic resources for all major aquaculture species. While high-density single-nucleotide polymorphism (SNP) arrays for some species have been developed recently, direct genotyping by sequencing (GBS) techniques have underpinned many of the advances in aquaculture genetics and breeding to date. In particular, restriction-site associated DNA sequencing (RAD-Seq) and subsequent variations have been extensively applied to generate population-level SNP genotype data. These GBS techniques are not dependent on prior genomic information such as a reference genome assembly for the species of interest. As such, they have been widely utilized by researchers and companies focussing on nonmodel aquaculture species with relatively small research communities. Applications of RAD-Seq techniques have included generation of genetic linkage maps, performing genome-wide association studies, improvements of reference genome assemblies and, more recently, genomic selection for traits of interest to aquaculture like growth, sex determination or disease resistance. In this review, we briefly discuss the history of GBS, the nuances of the various GBS techniques, bioinformatics approaches and application of these techniques to various aquaculture species.\\r\\n", "author" : [ { "dropping-particle" : "", "family" : "Robledo", "given" : "Diego", "non-dropping-particle" : "", "parse-names" : false, "suffix" : "" }, { "dropping-particle" : "", "family" : "Palaiokostas", "given" : "Christos", "non-dropping-particle" : "", "parse-names" : false, "suffix" : "" }, { "dropping-particle" : "", "family" : "Bargelloni", "given" : "Luca", "non-dropping-particle" : "", "parse-names" : false, "suffix" : "" }, { "dropping-particle" : "", "family" : "Mart\u00ednez", "given" : "Paulino", "non-dropping-particle" : "", "parse-names" : false, "suffix" : "" }, { "dropping-particle" : "", "family" : "Houston", "given" : "Ross", "non-dropping-particle" : "", "parse-names" : false, "suffix" : "" } ], "container-title" : "Reviews in Aquaculture", "id" : "ITEM-1", "issued" : { "date-parts" : [ [ "2017" ] ] }, "title" : "Applications of genotyping by sequencing in aquaculture breeding and genetics", "type" : "article-newspaper" }, "uris" : [ "http://www.mendeley.com/documents/?uuid=d14e4277-8e51-4d8f-8648-45f80a4b2248" ] } ], "mendeley" : { "formattedCitation" : "(Robledo &lt;i&gt;et al.&lt;/i&gt; 2017)", "plainTextFormattedCitation" : "(Robledo et al. 2017)", "previouslyFormattedCitation" : "(Robledo &lt;i&gt;et al.&lt;/i&gt; 2017)" }, "properties" : {  }, "schema" : "https://github.com/citation-style-language/schema/raw/master/csl-citation.json" }</w:instrText>
      </w:r>
      <w:r w:rsidR="006D1A44">
        <w:fldChar w:fldCharType="separate"/>
      </w:r>
      <w:r w:rsidR="00E44206" w:rsidRPr="00012B4C">
        <w:rPr>
          <w:noProof/>
        </w:rPr>
        <w:t xml:space="preserve">(Robledo </w:t>
      </w:r>
      <w:r w:rsidR="00E44206" w:rsidRPr="00012B4C">
        <w:rPr>
          <w:i/>
          <w:noProof/>
        </w:rPr>
        <w:t>et al.</w:t>
      </w:r>
      <w:r w:rsidR="00E44206" w:rsidRPr="00012B4C">
        <w:rPr>
          <w:noProof/>
        </w:rPr>
        <w:t xml:space="preserve"> 2017)</w:t>
      </w:r>
      <w:r w:rsidR="006D1A44">
        <w:fldChar w:fldCharType="end"/>
      </w:r>
      <w:r w:rsidR="00E44206">
        <w:t xml:space="preserve">, and various genome wide association studies (GWAS) using this technique have been published in aquaculture species </w:t>
      </w:r>
      <w:r w:rsidR="006D1A44">
        <w:fldChar w:fldCharType="begin" w:fldLock="1"/>
      </w:r>
      <w:r w:rsidR="00C242BD">
        <w:instrText>ADDIN CSL_CITATION { "citationItems" : [ { "id" : "ITEM-1", "itemData" : { "DOI" : "10.1534/g3.114.014621", "ISSN" : "2160-1836", "PMID" : "25354781", "abstract" : "Recent advances in genotyping-by-sequencing have enabled genome-wide association studies in nonmodel species including those in aquaculture programs. As with other aquaculture species, rainbow trout and steelhead (Oncorhynchus mykiss) are susceptible to disease and outbreaks can lead to significant losses. Fish culturists have therefore been pursuing strategies to prevent losses to common pathogens such as Flavobacterium psychrophilum (the etiological agent for bacterial cold water disease [CWD]) and infectious hematopoietic necrosis virus (IHNV) by adjusting feed formulations, vaccine development, and selective breeding. However, discovery of genetic markers linked to disease resistance offers the potential to use marker-assisted selection to increase resistance and reduce outbreaks. For this study we sampled juvenile fish from 40 families from 2-yr classes that either survived or died after controlled exposure to either CWD or IHNV. Restriction site-associated DNA sequencing produced 4661 polymorphic single-nucleotide polymorphism loci after strict filtering. Genotypes from individual survivors and mortalities were then used to test for association between disease resistance and genotype at each locus using the program TASSEL. After we accounted for kinship and stratification of the samples, tests revealed 12 single-nucleotide polymorphism markers that were highly associated with resistance to CWD and 19 markers associated with resistance to IHNV. These markers are candidates for further investigation and are expected to be useful for marker assisted selection in future broodstock selection for various aquaculture programs.", "author" : [ { "dropping-particle" : "", "family" : "Campbell", "given" : "Nathan R", "non-dropping-particle" : "", "parse-names" : false, "suffix" : "" }, { "dropping-particle" : "", "family" : "LaPatra", "given" : "Scott E", "non-dropping-particle" : "", "parse-names" : false, "suffix" : "" }, { "dropping-particle" : "", "family" : "Overturf", "given" : "Ken", "non-dropping-particle" : "", "parse-names" : false, "suffix" : "" }, { "dropping-particle" : "", "family" : "Towner", "given" : "Richard", "non-dropping-particle" : "", "parse-names" : false, "suffix" : "" }, { "dropping-particle" : "", "family" : "Narum", "given" : "Shawn R", "non-dropping-particle" : "", "parse-names" : false, "suffix" : "" } ], "container-title" : "G3 (Bethesda, Md.)", "id" : "ITEM-1", "issue" : "12", "issued" : { "date-parts" : [ [ "2014", "12" ] ] }, "page" : "2473-81", "title" : "Association mapping of disease resistance traits in rainbow trout using restriction site associated DNA sequencing.", "type" : "article-journal", "volume" : "4" }, "uris" : [ "http://www.mendeley.com/documents/?uuid=c3ffc56d-2290-4623-8d78-f8803b06215a", "http://www.mendeley.com/documents/?uuid=185c5cba-52d5-412f-b32c-a1ae9ef14c5b" ] }, { "id" : "ITEM-2", "itemData" : { "DOI" : "10.1371/journal.pone.0138435", "ISSN" : "1932-6203", "author" : [ { "dropping-particle" : "", "family" : "Palti", "given" : "Yniv", "non-dropping-particle" : "", "parse-names" : false, "suffix" : "" }, { "dropping-particle" : "", "family" : "Vallejo", "given" : "Roger L.", "non-dropping-particle" : "", "parse-names" : false, "suffix" : "" }, { "dropping-particle" : "", "family" : "Gao", "given" : "Guangtu", "non-dropping-particle" : "", "parse-names" : false, "suffix" : "" }, { "dropping-particle" : "", "family" : "Liu", "given" : "Sixin", "non-dropping-particle" : "", "parse-names" : false, "suffix" : "" }, { "dropping-particle" : "", "family" : "Hernandez", "given" : "Alvaro G.", "non-dropping-particle" : "", "parse-names" : false, "suffix" : "" }, { "dropping-particle" : "", "family" : "Rexroad", "given" : "Caird E.", "non-dropping-particle" : "", "parse-names" : false, "suffix" : "" }, { "dropping-particle" : "", "family" : "Wiens", "given" : "Gregory D.", "non-dropping-particle" : "", "parse-names" : false, "suffix" : "" } ], "container-title" : "PLOS ONE", "editor" : [ { "dropping-particle" : "", "family" : "Wang", "given" : "Hanping", "non-dropping-particle" : "", "parse-names" : false, "suffix" : "" } ], "id" : "ITEM-2", "issue" : "9", "issued" : { "date-parts" : [ [ "2015", "9" ] ] }, "page" : "e0138435", "publisher" : "Public Library of Science", "title" : "Detection and Validation of QTL Affecting Bacterial Cold Water Disease Resistance in Rainbow Trout Using Restriction-Site Associated DNA Sequencing", "type" : "article-journal", "volume" : "10" }, "uris" : [ "http://www.mendeley.com/documents/?uuid=f3931a0d-c516-3458-b074-3b3b8e446ec0", "http://www.mendeley.com/documents/?uuid=1acf7b97-9356-413e-95bf-a379a0b4e608" ] }, { "id" : "ITEM-3", "itemData" : { "author" : [ { "dropping-particle" : "", "family" : "Barria", "given" : "Agustin", "non-dropping-particle" : "", "parse-names" : false, "suffix" : "" }, { "dropping-particle" : "", "family" : "Christensen", "given" : "Kris A", "non-dropping-particle" : "", "parse-names" : false, "suffix" : "" }, { "dropping-particle" : "", "family" : "Correa", "given" : "Katharina", "non-dropping-particle" : "", "parse-names" : false, "suffix" : "" }, { "dropping-particle" : "", "family" : "Jedlicki", "given" : "Ana", "non-dropping-particle" : "", "parse-names" : false, "suffix" : "" }, { "dropping-particle" : "", "family" : "Lhorente", "given" : "Jean Paul", "non-dropping-particle" : "", "parse-names" : false, "suffix" : "" }, { "dropping-particle" : "", "family" : "Davidson", "given" : "William", "non-dropping-particle" : "", "parse-names" : false, "suffix" : "" }, { "dropping-particle" : "", "family" : "Y\u00e1\u00f1ez", "given" : "Jos\u00e9 Manuel", "non-dropping-particle" : "", "parse-names" : false, "suffix" : "" } ], "container-title" : "bioRxiv", "id" : "ITEM-3", "issued" : { "date-parts" : [ [ "2017" ] ] }, "title" : "Genome-Wide Association Study And Genomic Predictions For Resistance Against Piscirickettsia salmonis In Coho Salmon (Oncorhynchus kisutch) Using ddRAD Sequencing", "type" : "article-journal" }, "uris" : [ "http://www.mendeley.com/documents/?uuid=4e02217c-e6a0-3779-8226-be620b69fe8e", "http://www.mendeley.com/documents/?uuid=941a981a-ab86-4f44-b73b-703113b4400f" ] } ], "mendeley" : { "formattedCitation" : "(Campbell &lt;i&gt;et al.&lt;/i&gt; 2014; Palti &lt;i&gt;et al.&lt;/i&gt; 2015; Barria &lt;i&gt;et al.&lt;/i&gt; 2017)", "manualFormatting" : "(e.g. Campbell et al. 2014; Palti et al. 2015; Barria et al. 2017)", "plainTextFormattedCitation" : "(Campbell et al. 2014; Palti et al. 2015; Barria et al. 2017)", "previouslyFormattedCitation" : "(Campbell &lt;i&gt;et al.&lt;/i&gt; 2014; Palti &lt;i&gt;et al.&lt;/i&gt; 2015; Barria &lt;i&gt;et al.&lt;/i&gt; 2017)" }, "properties" : {  }, "schema" : "https://github.com/citation-style-language/schema/raw/master/csl-citation.json" }</w:instrText>
      </w:r>
      <w:r w:rsidR="006D1A44">
        <w:fldChar w:fldCharType="separate"/>
      </w:r>
      <w:r w:rsidR="00E44206" w:rsidRPr="003036D6">
        <w:rPr>
          <w:noProof/>
        </w:rPr>
        <w:t>(</w:t>
      </w:r>
      <w:r w:rsidR="00E44206">
        <w:rPr>
          <w:noProof/>
        </w:rPr>
        <w:t xml:space="preserve">e.g. </w:t>
      </w:r>
      <w:r w:rsidR="00E44206" w:rsidRPr="003036D6">
        <w:rPr>
          <w:noProof/>
        </w:rPr>
        <w:t xml:space="preserve">Campbell </w:t>
      </w:r>
      <w:r w:rsidR="00E44206" w:rsidRPr="003036D6">
        <w:rPr>
          <w:i/>
          <w:noProof/>
        </w:rPr>
        <w:t>et al.</w:t>
      </w:r>
      <w:r w:rsidR="00E44206" w:rsidRPr="003036D6">
        <w:rPr>
          <w:noProof/>
        </w:rPr>
        <w:t xml:space="preserve"> 2014; Palti </w:t>
      </w:r>
      <w:r w:rsidR="00E44206" w:rsidRPr="003036D6">
        <w:rPr>
          <w:i/>
          <w:noProof/>
        </w:rPr>
        <w:t>et al.</w:t>
      </w:r>
      <w:r w:rsidR="00E44206" w:rsidRPr="003036D6">
        <w:rPr>
          <w:noProof/>
        </w:rPr>
        <w:t xml:space="preserve"> 2015; Barria </w:t>
      </w:r>
      <w:r w:rsidR="00E44206" w:rsidRPr="003036D6">
        <w:rPr>
          <w:i/>
          <w:noProof/>
        </w:rPr>
        <w:t>et al.</w:t>
      </w:r>
      <w:r w:rsidR="00E44206" w:rsidRPr="003036D6">
        <w:rPr>
          <w:noProof/>
        </w:rPr>
        <w:t xml:space="preserve"> 2017)</w:t>
      </w:r>
      <w:r w:rsidR="006D1A44">
        <w:fldChar w:fldCharType="end"/>
      </w:r>
      <w:r w:rsidR="00E44206">
        <w:t>.</w:t>
      </w:r>
      <w:r w:rsidR="000D704F">
        <w:t xml:space="preserve"> </w:t>
      </w:r>
      <w:r w:rsidR="00E44206">
        <w:t>C</w:t>
      </w:r>
      <w:r w:rsidR="004B5B58">
        <w:t xml:space="preserve">lassical genome wide association study (GWAS) and weighted genomic best linear unbiased predictor (WGBLUP) </w:t>
      </w:r>
      <w:r w:rsidR="00D03551">
        <w:t xml:space="preserve">approaches were taken </w:t>
      </w:r>
      <w:r w:rsidR="00FF4A07">
        <w:t xml:space="preserve">to </w:t>
      </w:r>
      <w:r w:rsidR="00F15FB6">
        <w:t>examine the genetic architecture of resistance</w:t>
      </w:r>
      <w:r>
        <w:t xml:space="preserve">. </w:t>
      </w:r>
      <w:r w:rsidR="00914E8F">
        <w:t xml:space="preserve">Finally pooled whole genome sequencing </w:t>
      </w:r>
      <w:r w:rsidR="004B2520">
        <w:t>(</w:t>
      </w:r>
      <w:r w:rsidR="009E3A3F">
        <w:t>P</w:t>
      </w:r>
      <w:r w:rsidR="004B2520">
        <w:t xml:space="preserve">WGS) </w:t>
      </w:r>
      <w:r w:rsidR="00914E8F">
        <w:t xml:space="preserve">was performed in a subset of </w:t>
      </w:r>
      <w:r w:rsidR="00D03551">
        <w:t xml:space="preserve">samples with divergent resistance and susceptibility </w:t>
      </w:r>
      <w:r w:rsidR="00914E8F">
        <w:t xml:space="preserve">to </w:t>
      </w:r>
      <w:r w:rsidR="00D03551">
        <w:t xml:space="preserve">characterize and annotate QTL regions, and to </w:t>
      </w:r>
      <w:r w:rsidR="00914E8F">
        <w:t xml:space="preserve">identify potential gene candidates </w:t>
      </w:r>
      <w:r w:rsidR="00EE75D6">
        <w:t xml:space="preserve">and polymorphisms </w:t>
      </w:r>
      <w:r w:rsidR="00914E8F">
        <w:t>involved in KHV resistance.</w:t>
      </w:r>
    </w:p>
    <w:p w14:paraId="7B292368" w14:textId="77777777" w:rsidR="00D62B6E" w:rsidRPr="00501C50" w:rsidRDefault="00D62B6E" w:rsidP="00D31313">
      <w:pPr>
        <w:spacing w:line="480" w:lineRule="auto"/>
        <w:outlineLvl w:val="0"/>
        <w:rPr>
          <w:b/>
          <w:sz w:val="28"/>
          <w:szCs w:val="28"/>
        </w:rPr>
      </w:pPr>
      <w:r w:rsidRPr="00501C50">
        <w:rPr>
          <w:b/>
          <w:sz w:val="28"/>
          <w:szCs w:val="28"/>
        </w:rPr>
        <w:t>Materials and Methods</w:t>
      </w:r>
    </w:p>
    <w:p w14:paraId="74404DA8" w14:textId="77777777" w:rsidR="004A3328" w:rsidRPr="00C27580" w:rsidRDefault="00D62B6E" w:rsidP="00C27580">
      <w:pPr>
        <w:spacing w:line="480" w:lineRule="auto"/>
        <w:outlineLvl w:val="0"/>
        <w:rPr>
          <w:b/>
        </w:rPr>
      </w:pPr>
      <w:bookmarkStart w:id="0" w:name="_Toc246227353"/>
      <w:bookmarkStart w:id="1" w:name="_Toc257275565"/>
      <w:r w:rsidRPr="00501C50">
        <w:rPr>
          <w:b/>
        </w:rPr>
        <w:t xml:space="preserve">Sample collection and </w:t>
      </w:r>
      <w:bookmarkEnd w:id="0"/>
      <w:bookmarkEnd w:id="1"/>
      <w:r w:rsidR="00843430" w:rsidRPr="00501C50">
        <w:rPr>
          <w:b/>
        </w:rPr>
        <w:t>disease challenge</w:t>
      </w:r>
      <w:r w:rsidRPr="00501C50">
        <w:rPr>
          <w:b/>
        </w:rPr>
        <w:t xml:space="preserve"> </w:t>
      </w:r>
    </w:p>
    <w:p w14:paraId="61F0100E" w14:textId="040DC797" w:rsidR="00BB67B1" w:rsidRDefault="00412566" w:rsidP="00BB67B1">
      <w:pPr>
        <w:spacing w:line="480" w:lineRule="auto"/>
        <w:jc w:val="both"/>
        <w:rPr>
          <w:rFonts w:eastAsia="Times New Roman"/>
          <w:color w:val="000000" w:themeColor="text1"/>
          <w:lang w:val="en-GB" w:eastAsia="cs-CZ"/>
        </w:rPr>
      </w:pPr>
      <w:r>
        <w:lastRenderedPageBreak/>
        <w:t xml:space="preserve">A population of Amur Mirror Carp was created at </w:t>
      </w:r>
      <w:r w:rsidR="00A03DF1">
        <w:t>the University of South Bohemia</w:t>
      </w:r>
      <w:r w:rsidR="00A03DF1" w:rsidRPr="00A03DF1">
        <w:t xml:space="preserve"> </w:t>
      </w:r>
      <w:r w:rsidR="00A03DF1">
        <w:t>in České Budějovice,</w:t>
      </w:r>
      <w:r>
        <w:t xml:space="preserve"> Czech Republic </w:t>
      </w:r>
      <w:r w:rsidR="001E65E3">
        <w:t>in</w:t>
      </w:r>
      <w:r>
        <w:t xml:space="preserve"> </w:t>
      </w:r>
      <w:r w:rsidRPr="00412566">
        <w:t>May 2014</w:t>
      </w:r>
      <w:r w:rsidR="00065380">
        <w:t xml:space="preserve"> using artificial insemination</w:t>
      </w:r>
      <w:r w:rsidR="005D4FE2">
        <w:t xml:space="preserve"> </w:t>
      </w:r>
      <w:r w:rsidR="006D1A44">
        <w:fldChar w:fldCharType="begin" w:fldLock="1"/>
      </w:r>
      <w:r w:rsidR="00CF32E6">
        <w:instrText>ADDIN CSL_CITATION { "citationItems" : [ { "id" : "ITEM-1", "itemData" : { "DOI" : "10.1016/j.aquaculture.2003.12.019", "ISBN" : "0044-8486", "ISSN" : "00448486", "abstract" : "Common carp is one of the leading species in world aquaculture, but selective breeding for growth rate has not been actively pursued in this species after unsuccessful selection experiments. We estimated heritability for growth-related traits at 8 weeks of age in Hungarian Synthetic Mirror carp at Vodnany (Czech Republic). Parentage assignment with eight microsatellite markers was used in a full factorial cross of 10 dams\u00d724 sires. Out of 550 offspring, 95.3% could be assigned to a single parental pair. Animal model heritability estimates were 0.33\u00b10.08 for weight 0.33\u00b10.07 for length and 0.37\u00b10.07 for Fulton's condition factor (K). Maternal effects and dominance were not significantly different from zero. The genetic correlation between weight and length was 0.98, and negative correlations were found between K and length (-0.38) and K and weight (-0.17). It is concluded that selective breeding for increased weight gain can be successful in juvenile carp, using indirect selection for length. However, the facts that heritability was estimated at 8 weeks of age and not at harvest weight, as well as a possible amplification of additive variance by competition, are limitations to the applicability of the present results. \u00a9 2004 Elsevier B.V. All rights reserved.", "author" : [ { "dropping-particle" : "", "family" : "Vandeputte", "given" : "Marc", "non-dropping-particle" : "", "parse-names" : false, "suffix" : "" }, { "dropping-particle" : "", "family" : "Kocour", "given" : "Martin", "non-dropping-particle" : "", "parse-names" : false, "suffix" : "" }, { "dropping-particle" : "", "family" : "Mauger", "given" : "St\u00e9phane", "non-dropping-particle" : "", "parse-names" : false, "suffix" : "" }, { "dropping-particle" : "", "family" : "Dupont-Nivet", "given" : "Mathilde", "non-dropping-particle" : "", "parse-names" : false, "suffix" : "" }, { "dropping-particle" : "", "family" : "Guerry", "given" : "Daphn\u00e9", "non-dropping-particle" : "De", "parse-names" : false, "suffix" : "" }, { "dropping-particle" : "", "family" : "Rodina", "given" : "Marek", "non-dropping-particle" : "", "parse-names" : false, "suffix" : "" }, { "dropping-particle" : "", "family" : "Gela", "given" : "David", "non-dropping-particle" : "", "parse-names" : false, "suffix" : "" }, { "dropping-particle" : "", "family" : "Vallod", "given" : "Dominique", "non-dropping-particle" : "", "parse-names" : false, "suffix" : "" }, { "dropping-particle" : "", "family" : "Chevassus", "given" : "Bernard", "non-dropping-particle" : "", "parse-names" : false, "suffix" : "" }, { "dropping-particle" : "", "family" : "Linhart", "given" : "Otomar", "non-dropping-particle" : "", "parse-names" : false, "suffix" : "" } ], "container-title" : "Aquaculture", "id" : "ITEM-1", "issue" : "1-4", "issued" : { "date-parts" : [ [ "2004" ] ] }, "page" : "223-236", "title" : "Heritability estimates for growth-related traits using microsatellite parentage assignment in juvenile common carp (Cyprinus carpio L.)", "type" : "article-journal", "volume" : "235" }, "uris" : [ "http://www.mendeley.com/documents/?uuid=73616c9f-ebfd-40e3-a8a1-a9c1f306f65f" ] } ], "mendeley" : { "formattedCitation" : "(Vandeputte &lt;i&gt;et al.&lt;/i&gt; 2004)", "plainTextFormattedCitation" : "(Vandeputte et al. 2004)", "previouslyFormattedCitation" : "(Vandeputte &lt;i&gt;et al.&lt;/i&gt; 2004)" }, "properties" : {  }, "schema" : "https://github.com/citation-style-language/schema/raw/master/csl-citation.json" }</w:instrText>
      </w:r>
      <w:r w:rsidR="006D1A44">
        <w:fldChar w:fldCharType="separate"/>
      </w:r>
      <w:r w:rsidR="00CF32E6" w:rsidRPr="00CF32E6">
        <w:rPr>
          <w:noProof/>
        </w:rPr>
        <w:t xml:space="preserve">(Vandeputte </w:t>
      </w:r>
      <w:r w:rsidR="00CF32E6" w:rsidRPr="00CF32E6">
        <w:rPr>
          <w:i/>
          <w:noProof/>
        </w:rPr>
        <w:t>et al.</w:t>
      </w:r>
      <w:r w:rsidR="00CF32E6" w:rsidRPr="00CF32E6">
        <w:rPr>
          <w:noProof/>
        </w:rPr>
        <w:t xml:space="preserve"> 2004)</w:t>
      </w:r>
      <w:r w:rsidR="006D1A44">
        <w:fldChar w:fldCharType="end"/>
      </w:r>
      <w:r w:rsidR="00065380">
        <w:t xml:space="preserve"> involving </w:t>
      </w:r>
      <w:r w:rsidR="00D3283B">
        <w:t>four</w:t>
      </w:r>
      <w:r w:rsidRPr="00412566">
        <w:t xml:space="preserve"> factorial </w:t>
      </w:r>
      <w:r>
        <w:t xml:space="preserve">crosses of </w:t>
      </w:r>
      <w:r w:rsidR="00D3283B">
        <w:t>five</w:t>
      </w:r>
      <w:r>
        <w:t xml:space="preserve"> </w:t>
      </w:r>
      <w:r w:rsidR="00065380">
        <w:t>dams</w:t>
      </w:r>
      <w:r>
        <w:t xml:space="preserve"> x </w:t>
      </w:r>
      <w:r w:rsidR="00D3283B">
        <w:t>ten</w:t>
      </w:r>
      <w:r>
        <w:t xml:space="preserve"> </w:t>
      </w:r>
      <w:r w:rsidR="00065380">
        <w:t>sires (20 dams and 40 sires in total)</w:t>
      </w:r>
      <w:r w:rsidR="00F4152B">
        <w:t>.</w:t>
      </w:r>
      <w:r w:rsidR="005C04F5">
        <w:rPr>
          <w:lang w:val="en-GB"/>
        </w:rPr>
        <w:t xml:space="preserve"> </w:t>
      </w:r>
      <w:r w:rsidR="005C04F5">
        <w:rPr>
          <w:rFonts w:eastAsia="Times New Roman"/>
          <w:color w:val="000000" w:themeColor="text1"/>
          <w:lang w:val="en-GB" w:eastAsia="cs-CZ"/>
        </w:rPr>
        <w:t>Incubat</w:t>
      </w:r>
      <w:r w:rsidR="00FE2A95">
        <w:rPr>
          <w:rFonts w:eastAsia="Times New Roman"/>
          <w:color w:val="000000" w:themeColor="text1"/>
          <w:lang w:val="en-GB" w:eastAsia="cs-CZ"/>
        </w:rPr>
        <w:t xml:space="preserve">ion of eggs was performed in 9 </w:t>
      </w:r>
      <w:r w:rsidR="00B978BA">
        <w:rPr>
          <w:rFonts w:eastAsia="Times New Roman"/>
          <w:color w:val="000000" w:themeColor="text1"/>
          <w:lang w:val="en-GB" w:eastAsia="cs-CZ"/>
        </w:rPr>
        <w:t xml:space="preserve">L </w:t>
      </w:r>
      <w:r w:rsidR="005C04F5">
        <w:rPr>
          <w:rFonts w:eastAsia="Times New Roman"/>
          <w:color w:val="000000" w:themeColor="text1"/>
          <w:lang w:val="en-GB" w:eastAsia="cs-CZ"/>
        </w:rPr>
        <w:t xml:space="preserve">Zugar jars at 20°C. </w:t>
      </w:r>
      <w:r w:rsidR="005C04F5" w:rsidRPr="00DC48AE">
        <w:rPr>
          <w:lang w:val="en-GB"/>
        </w:rPr>
        <w:t xml:space="preserve">At </w:t>
      </w:r>
      <w:r w:rsidR="00FF4A07">
        <w:rPr>
          <w:lang w:val="en-GB"/>
        </w:rPr>
        <w:t xml:space="preserve">the first </w:t>
      </w:r>
      <w:r w:rsidR="005C04F5" w:rsidRPr="00DC48AE">
        <w:rPr>
          <w:lang w:val="en-GB"/>
        </w:rPr>
        <w:t>swimming stage</w:t>
      </w:r>
      <w:r w:rsidR="005C04F5">
        <w:rPr>
          <w:lang w:val="en-GB"/>
        </w:rPr>
        <w:t>,</w:t>
      </w:r>
      <w:r w:rsidR="005C04F5" w:rsidRPr="00DC48AE">
        <w:rPr>
          <w:lang w:val="en-GB"/>
        </w:rPr>
        <w:t xml:space="preserve"> </w:t>
      </w:r>
      <w:r w:rsidR="005C04F5">
        <w:rPr>
          <w:lang w:val="en-GB"/>
        </w:rPr>
        <w:t xml:space="preserve">randomly </w:t>
      </w:r>
      <w:r w:rsidR="00FF4A07">
        <w:rPr>
          <w:lang w:val="en-GB"/>
        </w:rPr>
        <w:t xml:space="preserve">sampled </w:t>
      </w:r>
      <w:r w:rsidR="005C04F5">
        <w:rPr>
          <w:lang w:val="en-GB"/>
        </w:rPr>
        <w:t xml:space="preserve">progeny </w:t>
      </w:r>
      <w:r w:rsidR="000B2530">
        <w:rPr>
          <w:lang w:val="en-GB"/>
        </w:rPr>
        <w:t xml:space="preserve">from each mating </w:t>
      </w:r>
      <w:r w:rsidR="00D3283B">
        <w:rPr>
          <w:lang w:val="en-GB"/>
        </w:rPr>
        <w:t xml:space="preserve">(of approximately equal total volume) </w:t>
      </w:r>
      <w:r w:rsidR="000B2530">
        <w:rPr>
          <w:lang w:val="en-GB"/>
        </w:rPr>
        <w:t xml:space="preserve">were pooled and </w:t>
      </w:r>
      <w:r w:rsidR="005C04F5">
        <w:rPr>
          <w:lang w:val="en-GB"/>
        </w:rPr>
        <w:t xml:space="preserve">stocked </w:t>
      </w:r>
      <w:r w:rsidR="005C04F5">
        <w:rPr>
          <w:rFonts w:eastAsia="Times New Roman"/>
          <w:color w:val="000000" w:themeColor="text1"/>
          <w:lang w:val="en-GB" w:eastAsia="cs-CZ"/>
        </w:rPr>
        <w:t>into several nursery earthen ponds at stock</w:t>
      </w:r>
      <w:r w:rsidR="00F4152B">
        <w:rPr>
          <w:rFonts w:eastAsia="Times New Roman"/>
          <w:color w:val="000000" w:themeColor="text1"/>
          <w:lang w:val="en-GB" w:eastAsia="cs-CZ"/>
        </w:rPr>
        <w:t>ing density of 150,000 larvae</w:t>
      </w:r>
      <w:r w:rsidR="00B978BA">
        <w:rPr>
          <w:rFonts w:eastAsia="Times New Roman"/>
          <w:color w:val="000000" w:themeColor="text1"/>
          <w:lang w:val="en-GB" w:eastAsia="cs-CZ"/>
        </w:rPr>
        <w:t xml:space="preserve"> </w:t>
      </w:r>
      <w:r w:rsidR="00F4152B">
        <w:rPr>
          <w:rFonts w:eastAsia="Times New Roman"/>
          <w:color w:val="000000" w:themeColor="text1"/>
          <w:lang w:val="en-GB" w:eastAsia="cs-CZ"/>
        </w:rPr>
        <w:t>/</w:t>
      </w:r>
      <w:r w:rsidR="00B978BA">
        <w:rPr>
          <w:rFonts w:eastAsia="Times New Roman"/>
          <w:color w:val="000000" w:themeColor="text1"/>
          <w:lang w:val="en-GB" w:eastAsia="cs-CZ"/>
        </w:rPr>
        <w:t xml:space="preserve"> </w:t>
      </w:r>
      <w:r w:rsidR="005C04F5">
        <w:rPr>
          <w:rFonts w:eastAsia="Times New Roman"/>
          <w:color w:val="000000" w:themeColor="text1"/>
          <w:lang w:val="en-GB" w:eastAsia="cs-CZ"/>
        </w:rPr>
        <w:t xml:space="preserve">ha and reared under semi-intensive pond conditions throughout the growing </w:t>
      </w:r>
      <w:r w:rsidR="001C083B">
        <w:rPr>
          <w:rFonts w:eastAsia="Times New Roman"/>
          <w:color w:val="000000" w:themeColor="text1"/>
          <w:lang w:val="en-GB" w:eastAsia="cs-CZ"/>
        </w:rPr>
        <w:t>season (from May to September).</w:t>
      </w:r>
      <w:r w:rsidR="00BB67B1">
        <w:rPr>
          <w:rFonts w:eastAsia="Times New Roman"/>
          <w:color w:val="000000" w:themeColor="text1"/>
          <w:lang w:val="en-GB" w:eastAsia="cs-CZ"/>
        </w:rPr>
        <w:t xml:space="preserve"> Before the challenge tes</w:t>
      </w:r>
      <w:r w:rsidR="00A67496">
        <w:rPr>
          <w:rFonts w:eastAsia="Times New Roman"/>
          <w:color w:val="000000" w:themeColor="text1"/>
          <w:lang w:val="en-GB" w:eastAsia="cs-CZ"/>
        </w:rPr>
        <w:t>t a random sample of 1,500 fish</w:t>
      </w:r>
      <w:r w:rsidR="00BB67B1">
        <w:rPr>
          <w:rFonts w:eastAsia="Times New Roman"/>
          <w:color w:val="000000" w:themeColor="text1"/>
          <w:lang w:val="en-GB" w:eastAsia="cs-CZ"/>
        </w:rPr>
        <w:t xml:space="preserve"> described above were tagged and fin clipped. </w:t>
      </w:r>
      <w:r w:rsidR="00BB51FA">
        <w:rPr>
          <w:rFonts w:eastAsia="Times New Roman"/>
          <w:color w:val="000000" w:themeColor="text1"/>
          <w:lang w:val="en-GB" w:eastAsia="cs-CZ"/>
        </w:rPr>
        <w:t xml:space="preserve">These fish were the same as those described in Palaiokostas et al. (2018). </w:t>
      </w:r>
      <w:r w:rsidR="00BB67B1">
        <w:rPr>
          <w:rFonts w:eastAsia="Times New Roman"/>
          <w:color w:val="000000" w:themeColor="text1"/>
          <w:lang w:val="en-GB" w:eastAsia="cs-CZ"/>
        </w:rPr>
        <w:t xml:space="preserve">These animals were acclimatized for </w:t>
      </w:r>
      <w:r w:rsidR="00D3283B">
        <w:rPr>
          <w:rFonts w:eastAsia="Times New Roman"/>
          <w:color w:val="000000" w:themeColor="text1"/>
          <w:lang w:val="en-GB" w:eastAsia="cs-CZ"/>
        </w:rPr>
        <w:t>five</w:t>
      </w:r>
      <w:r w:rsidR="00BB67B1">
        <w:rPr>
          <w:rFonts w:eastAsia="Times New Roman"/>
          <w:color w:val="000000" w:themeColor="text1"/>
          <w:lang w:val="en-GB" w:eastAsia="cs-CZ"/>
        </w:rPr>
        <w:t xml:space="preserve"> days at water temperature of 22 °C and bathed in FMC solution (formalin, malachite green, methyl</w:t>
      </w:r>
      <w:r w:rsidR="00A03DF1">
        <w:rPr>
          <w:rFonts w:eastAsia="Times New Roman"/>
          <w:color w:val="000000" w:themeColor="text1"/>
          <w:lang w:val="en-GB" w:eastAsia="cs-CZ"/>
        </w:rPr>
        <w:t>ene blue</w:t>
      </w:r>
      <w:r w:rsidR="00BB67B1">
        <w:rPr>
          <w:rFonts w:eastAsia="Times New Roman"/>
          <w:color w:val="000000" w:themeColor="text1"/>
          <w:lang w:val="en-GB" w:eastAsia="cs-CZ"/>
        </w:rPr>
        <w:t xml:space="preserve"> using a dose of 2 </w:t>
      </w:r>
      <w:r w:rsidR="00B978BA">
        <w:rPr>
          <w:rFonts w:eastAsia="Times New Roman"/>
          <w:color w:val="000000" w:themeColor="text1"/>
          <w:lang w:val="en-GB" w:eastAsia="cs-CZ"/>
        </w:rPr>
        <w:t xml:space="preserve">mL </w:t>
      </w:r>
      <w:r w:rsidR="00BB67B1">
        <w:rPr>
          <w:rFonts w:eastAsia="Times New Roman"/>
          <w:color w:val="000000" w:themeColor="text1"/>
          <w:lang w:val="en-GB" w:eastAsia="cs-CZ"/>
        </w:rPr>
        <w:t xml:space="preserve">per 100 </w:t>
      </w:r>
      <w:r w:rsidR="00B978BA">
        <w:rPr>
          <w:rFonts w:eastAsia="Times New Roman"/>
          <w:color w:val="000000" w:themeColor="text1"/>
          <w:lang w:val="en-GB" w:eastAsia="cs-CZ"/>
        </w:rPr>
        <w:t xml:space="preserve">L </w:t>
      </w:r>
      <w:r w:rsidR="00BB67B1">
        <w:rPr>
          <w:rFonts w:eastAsia="Times New Roman"/>
          <w:color w:val="000000" w:themeColor="text1"/>
          <w:lang w:val="en-GB" w:eastAsia="cs-CZ"/>
        </w:rPr>
        <w:t>of water) to eliminate ectoparasites. Subsequently, the fish were transferred to Veterinary Research Institute (VRI) in Brno</w:t>
      </w:r>
      <w:r w:rsidR="00B978BA">
        <w:rPr>
          <w:rFonts w:eastAsia="Times New Roman"/>
          <w:color w:val="000000" w:themeColor="text1"/>
          <w:lang w:val="en-GB" w:eastAsia="cs-CZ"/>
        </w:rPr>
        <w:t xml:space="preserve"> (</w:t>
      </w:r>
      <w:r w:rsidR="00BB67B1">
        <w:rPr>
          <w:rFonts w:eastAsia="Times New Roman"/>
          <w:color w:val="000000" w:themeColor="text1"/>
          <w:lang w:val="en-GB" w:eastAsia="cs-CZ"/>
        </w:rPr>
        <w:t>Czech Republic</w:t>
      </w:r>
      <w:r w:rsidR="00B978BA">
        <w:rPr>
          <w:rFonts w:eastAsia="Times New Roman"/>
          <w:color w:val="000000" w:themeColor="text1"/>
          <w:lang w:val="en-GB" w:eastAsia="cs-CZ"/>
        </w:rPr>
        <w:t>)</w:t>
      </w:r>
      <w:r w:rsidR="00BB67B1">
        <w:rPr>
          <w:rFonts w:eastAsia="Times New Roman"/>
          <w:color w:val="000000" w:themeColor="text1"/>
          <w:lang w:val="en-GB" w:eastAsia="cs-CZ"/>
        </w:rPr>
        <w:t xml:space="preserve"> to perform the KHV disease challenge test. </w:t>
      </w:r>
      <w:r w:rsidR="00BB67B1" w:rsidRPr="00412566">
        <w:t>A small (n = 215) sample of koi carp were</w:t>
      </w:r>
      <w:r w:rsidR="00BB67B1">
        <w:t xml:space="preserve"> challenged alongside the Amur mirror c</w:t>
      </w:r>
      <w:r w:rsidR="00BB67B1" w:rsidRPr="00412566">
        <w:t>arp as a positive control, since Koi carp are highly susceptible to KHV.</w:t>
      </w:r>
    </w:p>
    <w:p w14:paraId="51A4C3D3" w14:textId="77777777" w:rsidR="005C04F5" w:rsidRDefault="005C04F5" w:rsidP="00D31313">
      <w:pPr>
        <w:spacing w:line="480" w:lineRule="auto"/>
        <w:jc w:val="both"/>
        <w:rPr>
          <w:rFonts w:eastAsia="Times New Roman"/>
          <w:color w:val="000000" w:themeColor="text1"/>
          <w:lang w:val="en-GB" w:eastAsia="cs-CZ"/>
        </w:rPr>
      </w:pPr>
    </w:p>
    <w:p w14:paraId="38F94E38" w14:textId="0931B0E8" w:rsidR="00BB67B1" w:rsidRDefault="005C04F5" w:rsidP="00BB67B1">
      <w:pPr>
        <w:spacing w:line="480" w:lineRule="auto"/>
        <w:jc w:val="both"/>
      </w:pPr>
      <w:r>
        <w:t>A cohabitation cha</w:t>
      </w:r>
      <w:r w:rsidR="00FE2A95">
        <w:t xml:space="preserve">llenge was performed in a 1,400 </w:t>
      </w:r>
      <w:r w:rsidR="00B978BA">
        <w:t xml:space="preserve">L </w:t>
      </w:r>
      <w:r>
        <w:t xml:space="preserve">tank equipped with recirculation and biological filtration. </w:t>
      </w:r>
      <w:r w:rsidRPr="00412566">
        <w:t>Koi carp</w:t>
      </w:r>
      <w:r>
        <w:t xml:space="preserve"> received an intraperitoneal injection with 0.2 mL culture medium containing 10</w:t>
      </w:r>
      <w:r>
        <w:rPr>
          <w:vertAlign w:val="superscript"/>
        </w:rPr>
        <w:t>4</w:t>
      </w:r>
      <w:r>
        <w:t xml:space="preserve"> TCID</w:t>
      </w:r>
      <w:r w:rsidR="00B978BA">
        <w:t xml:space="preserve"> </w:t>
      </w:r>
      <w:r>
        <w:t>50</w:t>
      </w:r>
      <w:r w:rsidR="00B978BA">
        <w:t xml:space="preserve"> </w:t>
      </w:r>
      <w:r>
        <w:t>/</w:t>
      </w:r>
      <w:r w:rsidR="00B978BA">
        <w:t xml:space="preserve"> mL </w:t>
      </w:r>
      <w:r>
        <w:t xml:space="preserve">KHV at day 0 and were added into the tank with challenged fish. Mortality of individual fish was recorded twice a day for </w:t>
      </w:r>
      <w:r w:rsidR="00C5257F">
        <w:t xml:space="preserve">a </w:t>
      </w:r>
      <w:r>
        <w:t>period of 35 days post infection (dpi). Presence of KHV on a sample of dead fish (n</w:t>
      </w:r>
      <w:r w:rsidR="00B676C6">
        <w:t xml:space="preserve"> </w:t>
      </w:r>
      <w:r>
        <w:t>=</w:t>
      </w:r>
      <w:r w:rsidR="00B676C6">
        <w:t xml:space="preserve"> </w:t>
      </w:r>
      <w:r>
        <w:t xml:space="preserve">100) </w:t>
      </w:r>
      <w:r w:rsidR="0090371B">
        <w:t xml:space="preserve">was confirmed </w:t>
      </w:r>
      <w:r w:rsidR="00A73C55">
        <w:t xml:space="preserve">by PCR </w:t>
      </w:r>
      <w:r w:rsidR="0090371B">
        <w:t xml:space="preserve">according to </w:t>
      </w:r>
      <w:r w:rsidR="00F4152B">
        <w:t>guidelines</w:t>
      </w:r>
      <w:r>
        <w:t xml:space="preserve"> by the Centre for Environment, Fisheries &amp; Aquaculture Science, UK (C</w:t>
      </w:r>
      <w:r w:rsidR="00A73C55">
        <w:t>efas</w:t>
      </w:r>
      <w:r>
        <w:t xml:space="preserve">) </w:t>
      </w:r>
      <w:r w:rsidRPr="00DE0C40">
        <w:t>(Pokorova et al. 2010)</w:t>
      </w:r>
      <w:r>
        <w:t xml:space="preserve">. </w:t>
      </w:r>
      <w:r w:rsidR="00412566" w:rsidRPr="00412566">
        <w:t>The experiment was run until mortalities were negligible, implying that survivors were resistant.</w:t>
      </w:r>
      <w:r w:rsidR="00BB67B1">
        <w:t xml:space="preserve"> </w:t>
      </w:r>
      <w:r w:rsidR="00B676C6">
        <w:t xml:space="preserve">The entire </w:t>
      </w:r>
      <w:r w:rsidR="00BB67B1">
        <w:t xml:space="preserve">experiment was conducted in accordance with </w:t>
      </w:r>
      <w:r w:rsidR="00BB67B1" w:rsidRPr="00131C89">
        <w:t>the law on the protection of animals against cruelty (Act no. 246/1992 Coll.</w:t>
      </w:r>
      <w:r w:rsidR="00BB67B1">
        <w:t xml:space="preserve"> of the Czech Republic) upon </w:t>
      </w:r>
      <w:r w:rsidR="00BB67B1">
        <w:lastRenderedPageBreak/>
        <w:t>its a</w:t>
      </w:r>
      <w:r w:rsidR="00BB67B1" w:rsidRPr="00131C89">
        <w:t>pprov</w:t>
      </w:r>
      <w:r w:rsidR="00BB67B1">
        <w:t xml:space="preserve">al by </w:t>
      </w:r>
      <w:r w:rsidR="00BB67B1" w:rsidRPr="00131C89">
        <w:t xml:space="preserve">Institutional Animal Care and Use Committee (IACUC) of the </w:t>
      </w:r>
      <w:r w:rsidR="00BB67B1">
        <w:t>VRI and appropriate state authority. All people conducting the experiment hold a certificate about qualification to conduct experiments on the live animals</w:t>
      </w:r>
      <w:r w:rsidR="00B978BA">
        <w:t>, and</w:t>
      </w:r>
      <w:r w:rsidR="00BB67B1">
        <w:t xml:space="preserve"> the VRI is accredited for </w:t>
      </w:r>
      <w:r w:rsidR="00B52F38">
        <w:t>the</w:t>
      </w:r>
      <w:r w:rsidR="00BB67B1">
        <w:t xml:space="preserve"> culture of experimental animals according to </w:t>
      </w:r>
      <w:r w:rsidR="00B676C6">
        <w:t>the afore</w:t>
      </w:r>
      <w:r w:rsidR="00BB67B1">
        <w:t xml:space="preserve">mentioned law.         </w:t>
      </w:r>
    </w:p>
    <w:p w14:paraId="4F3A88A5" w14:textId="77777777" w:rsidR="004A3328" w:rsidRDefault="004A3328" w:rsidP="00D31313">
      <w:pPr>
        <w:spacing w:line="480" w:lineRule="auto"/>
        <w:jc w:val="both"/>
      </w:pPr>
    </w:p>
    <w:p w14:paraId="3A94963C" w14:textId="77777777" w:rsidR="00D93008" w:rsidRDefault="00B676C6" w:rsidP="00A46507">
      <w:pPr>
        <w:spacing w:line="480" w:lineRule="auto"/>
        <w:jc w:val="both"/>
        <w:rPr>
          <w:b/>
        </w:rPr>
      </w:pPr>
      <w:bookmarkStart w:id="2" w:name="_Toc246227354"/>
      <w:bookmarkStart w:id="3" w:name="_Toc257275566"/>
      <w:r>
        <w:rPr>
          <w:b/>
        </w:rPr>
        <w:t>Library preparation and sequencing</w:t>
      </w:r>
    </w:p>
    <w:bookmarkEnd w:id="2"/>
    <w:bookmarkEnd w:id="3"/>
    <w:p w14:paraId="1205B83A" w14:textId="77777777" w:rsidR="00B676C6" w:rsidRDefault="00D62B6E" w:rsidP="00A46507">
      <w:pPr>
        <w:spacing w:line="480" w:lineRule="auto"/>
        <w:jc w:val="both"/>
      </w:pPr>
      <w:r w:rsidRPr="00653962">
        <w:t xml:space="preserve">The RAD library preparation protocol followed </w:t>
      </w:r>
      <w:r w:rsidR="00ED3523" w:rsidRPr="00653962">
        <w:t>t</w:t>
      </w:r>
      <w:r w:rsidRPr="00653962">
        <w:t xml:space="preserve">he methodology originally described in Baird </w:t>
      </w:r>
      <w:r w:rsidRPr="0076127B">
        <w:rPr>
          <w:i/>
        </w:rPr>
        <w:t>et al</w:t>
      </w:r>
      <w:r w:rsidRPr="00653962">
        <w:t xml:space="preserve">. </w:t>
      </w:r>
      <w:r w:rsidR="006D1A44" w:rsidRPr="00653962">
        <w:fldChar w:fldCharType="begin" w:fldLock="1"/>
      </w:r>
      <w:r w:rsidR="0076127B">
        <w:instrText>ADDIN CSL_CITATION { "citationItems" : [ { "id" : "ITEM-1", "itemData" : { "DOI" : "10.1371/journal.pone.0003376", "ISSN" : "1932-6203", "PMID" : "18852878", "abstract" : "Single nucleotide polymorphism (SNP) discovery and genotyping are essential to genetic mapping. There remains a need for a simple, inexpensive platform that allows high-density SNP discovery and genotyping in large populations. Here we describe the sequencing of restriction-site associated DNA (RAD) tags, which identified more than 13,000 SNPs, and mapped three traits in two model organisms, using less than half the capacity of one Illumina sequencing run. We demonstrated that different marker densities can be attained by choice of restriction enzyme. Furthermore, we developed a barcoding system for sample multiplexing and fine mapped the genetic basis of lateral plate armor loss in threespine stickleback by identifying recombinant breakpoints in F(2) individuals. Barcoding also facilitated mapping of a second trait, a reduction of pelvic structure, by in silico re-sorting of individuals. To further demonstrate the ease of the RAD sequencing approach we identified polymorphic markers and mapped an induced mutation in Neurospora crassa. Sequencing of RAD markers is an integrated platform for SNP discovery and genotyping. This approach should be widely applicable to genetic mapping in a variety of organisms.", "author" : [ { "dropping-particle" : "", "family" : "Baird", "given" : "Nathan a", "non-dropping-particle" : "", "parse-names" : false, "suffix" : "" }, { "dropping-particle" : "", "family" : "Etter", "given" : "Paul D", "non-dropping-particle" : "", "parse-names" : false, "suffix" : "" }, { "dropping-particle" : "", "family" : "Atwood", "given" : "Tressa S", "non-dropping-particle" : "", "parse-names" : false, "suffix" : "" }, { "dropping-particle" : "", "family" : "Currey", "given" : "Mark C", "non-dropping-particle" : "", "parse-names" : false, "suffix" : "" }, { "dropping-particle" : "", "family" : "Shiver", "given" : "Anthony L", "non-dropping-particle" : "", "parse-names" : false, "suffix" : "" }, { "dropping-particle" : "", "family" : "Lewis", "given" : "Zachary a", "non-dropping-particle" : "", "parse-names" : false, "suffix" : "" }, { "dropping-particle" : "", "family" : "Selker", "given" : "Eric U", "non-dropping-particle" : "", "parse-names" : false, "suffix" : "" }, { "dropping-particle" : "", "family" : "Cresko", "given" : "William a", "non-dropping-particle" : "", "parse-names" : false, "suffix" : "" }, { "dropping-particle" : "", "family" : "Johnson", "given" : "Eric a", "non-dropping-particle" : "", "parse-names" : false, "suffix" : "" } ], "container-title" : "PloS one", "id" : "ITEM-1", "issue" : "10", "issued" : { "date-parts" : [ [ "2008", "1" ] ] }, "page" : "e3376", "title" : "Rapid SNP discovery and genetic mapping using sequenced RAD markers.", "type" : "article-journal", "volume" : "3" }, "uris" : [ "http://www.mendeley.com/documents/?uuid=5a851590-d3a6-4bed-98d6-f924a0f71121", "http://www.mendeley.com/documents/?uuid=a04e10ee-8ec8-47b9-90dc-eb8bf05842de" ] } ], "mendeley" : { "formattedCitation" : "(Baird &lt;i&gt;et al.&lt;/i&gt; 2008)", "manualFormatting" : "(2008)", "plainTextFormattedCitation" : "(Baird et al. 2008)", "previouslyFormattedCitation" : "(Baird &lt;i&gt;et al.&lt;/i&gt; 2008)" }, "properties" : {  }, "schema" : "https://github.com/citation-style-language/schema/raw/master/csl-citation.json" }</w:instrText>
      </w:r>
      <w:r w:rsidR="006D1A44" w:rsidRPr="00653962">
        <w:fldChar w:fldCharType="separate"/>
      </w:r>
      <w:r w:rsidR="0076127B">
        <w:rPr>
          <w:noProof/>
        </w:rPr>
        <w:t>(</w:t>
      </w:r>
      <w:r w:rsidR="00EA7D44" w:rsidRPr="00653962">
        <w:rPr>
          <w:noProof/>
        </w:rPr>
        <w:t>2008)</w:t>
      </w:r>
      <w:r w:rsidR="006D1A44" w:rsidRPr="00653962">
        <w:fldChar w:fldCharType="end"/>
      </w:r>
      <w:r w:rsidRPr="00653962">
        <w:t xml:space="preserve"> </w:t>
      </w:r>
      <w:r w:rsidR="00C05DCB">
        <w:t>and presently in detail in Palaiokostas et al (2018)</w:t>
      </w:r>
      <w:r w:rsidRPr="00653962">
        <w:t xml:space="preserve">. Briefly, </w:t>
      </w:r>
      <w:r w:rsidR="00C05DCB">
        <w:t>template DNA was digested using the</w:t>
      </w:r>
      <w:r w:rsidRPr="00653962">
        <w:t xml:space="preserve"> </w:t>
      </w:r>
      <w:r w:rsidRPr="00653962">
        <w:rPr>
          <w:i/>
        </w:rPr>
        <w:t>Sbf</w:t>
      </w:r>
      <w:r w:rsidR="003C328F">
        <w:t>I (recogniz</w:t>
      </w:r>
      <w:r w:rsidRPr="00653962">
        <w:t>ing the CCTGCA|GG motif) high fidelity restriction enzyme (New England Biolabs; NEB)</w:t>
      </w:r>
      <w:r w:rsidR="00C05DCB">
        <w:t xml:space="preserve">. </w:t>
      </w:r>
      <w:r w:rsidR="0049110F">
        <w:t xml:space="preserve">DNA </w:t>
      </w:r>
      <w:r w:rsidR="008E4F64">
        <w:t>s</w:t>
      </w:r>
      <w:r w:rsidRPr="00653962">
        <w:t>hearing</w:t>
      </w:r>
      <w:r w:rsidR="008E4F64">
        <w:t xml:space="preserve"> was conducted with a Pico bioruptor</w:t>
      </w:r>
      <w:r w:rsidRPr="00653962">
        <w:t xml:space="preserve"> (</w:t>
      </w:r>
      <w:r w:rsidR="008E4F64">
        <w:t>Diagenode</w:t>
      </w:r>
      <w:r w:rsidR="002F26DA" w:rsidRPr="00653962">
        <w:t xml:space="preserve">) </w:t>
      </w:r>
      <w:r w:rsidRPr="00653962">
        <w:t>Following a final gel elution step into 20 µL EB buffer (MinElute Gel Purification Kit, Qiagen),</w:t>
      </w:r>
      <w:r w:rsidR="002F26DA" w:rsidRPr="00653962">
        <w:t xml:space="preserve"> 6</w:t>
      </w:r>
      <w:r w:rsidRPr="00653962">
        <w:t>6 libraries</w:t>
      </w:r>
      <w:r w:rsidR="002F26DA" w:rsidRPr="00653962">
        <w:t xml:space="preserve"> (24</w:t>
      </w:r>
      <w:r w:rsidRPr="00653962">
        <w:t xml:space="preserve"> animals each) were sent to </w:t>
      </w:r>
      <w:r w:rsidR="002F26DA" w:rsidRPr="00653962">
        <w:t xml:space="preserve">BMR </w:t>
      </w:r>
      <w:r w:rsidR="00ED3523" w:rsidRPr="00653962">
        <w:t>Genomics (</w:t>
      </w:r>
      <w:r w:rsidR="002F26DA" w:rsidRPr="00653962">
        <w:t>Italy</w:t>
      </w:r>
      <w:r w:rsidR="00ED3523" w:rsidRPr="00653962">
        <w:t>)</w:t>
      </w:r>
      <w:r w:rsidRPr="00653962">
        <w:t xml:space="preserve">, for quality control and high-throughput sequencing. </w:t>
      </w:r>
      <w:r w:rsidR="00A46507">
        <w:t>RAD l</w:t>
      </w:r>
      <w:r w:rsidRPr="00653962">
        <w:t xml:space="preserve">ibraries were run in </w:t>
      </w:r>
      <w:r w:rsidR="00F275A8" w:rsidRPr="00653962">
        <w:t>fourtee</w:t>
      </w:r>
      <w:r w:rsidR="002F26DA" w:rsidRPr="00653962">
        <w:t>n</w:t>
      </w:r>
      <w:r w:rsidRPr="00653962">
        <w:t xml:space="preserve"> lanes of an Illumina </w:t>
      </w:r>
      <w:r w:rsidR="00777EC8" w:rsidRPr="00653962">
        <w:t>NextSeq 500, using 75 base paired-end reads (v2</w:t>
      </w:r>
      <w:r w:rsidRPr="00653962">
        <w:t xml:space="preserve"> chemistry).</w:t>
      </w:r>
    </w:p>
    <w:p w14:paraId="6E202AD4" w14:textId="77777777" w:rsidR="00B676C6" w:rsidRDefault="00B676C6" w:rsidP="00A46507">
      <w:pPr>
        <w:spacing w:line="480" w:lineRule="auto"/>
        <w:jc w:val="both"/>
      </w:pPr>
    </w:p>
    <w:p w14:paraId="6DEEE59D" w14:textId="2C82E26A" w:rsidR="00A46507" w:rsidRDefault="00B676C6" w:rsidP="00A46507">
      <w:pPr>
        <w:spacing w:line="480" w:lineRule="auto"/>
        <w:jc w:val="both"/>
        <w:rPr>
          <w:rFonts w:eastAsia="Times New Roman"/>
          <w:color w:val="222222"/>
          <w:shd w:val="clear" w:color="auto" w:fill="FFFFFF"/>
        </w:rPr>
      </w:pPr>
      <w:r>
        <w:t xml:space="preserve">Whole genome sequencing </w:t>
      </w:r>
      <w:bookmarkStart w:id="4" w:name="_Toc246227355"/>
      <w:bookmarkStart w:id="5" w:name="_Toc257275567"/>
      <w:r>
        <w:rPr>
          <w:rFonts w:ascii="-webkit-standard" w:hAnsi="-webkit-standard"/>
          <w:color w:val="000000"/>
        </w:rPr>
        <w:t>l</w:t>
      </w:r>
      <w:r w:rsidR="008470CE">
        <w:rPr>
          <w:rFonts w:ascii="-webkit-standard" w:hAnsi="-webkit-standard"/>
          <w:color w:val="000000"/>
        </w:rPr>
        <w:t>ibraries</w:t>
      </w:r>
      <w:r w:rsidR="009E42F7">
        <w:rPr>
          <w:rFonts w:ascii="-webkit-standard" w:hAnsi="-webkit-standard"/>
          <w:color w:val="000000"/>
        </w:rPr>
        <w:t xml:space="preserve"> (n</w:t>
      </w:r>
      <w:r>
        <w:rPr>
          <w:rFonts w:ascii="-webkit-standard" w:hAnsi="-webkit-standard"/>
          <w:color w:val="000000"/>
        </w:rPr>
        <w:t xml:space="preserve"> </w:t>
      </w:r>
      <w:r w:rsidR="009E42F7">
        <w:rPr>
          <w:rFonts w:ascii="-webkit-standard" w:hAnsi="-webkit-standard"/>
          <w:color w:val="000000"/>
        </w:rPr>
        <w:t>=</w:t>
      </w:r>
      <w:r>
        <w:rPr>
          <w:rFonts w:ascii="-webkit-standard" w:hAnsi="-webkit-standard"/>
          <w:color w:val="000000"/>
        </w:rPr>
        <w:t xml:space="preserve"> </w:t>
      </w:r>
      <w:r w:rsidR="009E42F7">
        <w:rPr>
          <w:rFonts w:ascii="-webkit-standard" w:hAnsi="-webkit-standard"/>
          <w:color w:val="000000"/>
        </w:rPr>
        <w:t>4)</w:t>
      </w:r>
      <w:r w:rsidR="008470CE">
        <w:rPr>
          <w:rFonts w:ascii="-webkit-standard" w:hAnsi="-webkit-standard"/>
          <w:color w:val="000000"/>
        </w:rPr>
        <w:t xml:space="preserve"> from pooled</w:t>
      </w:r>
      <w:r w:rsidR="009E42F7">
        <w:rPr>
          <w:rFonts w:ascii="-webkit-standard" w:hAnsi="-webkit-standard"/>
          <w:color w:val="000000"/>
        </w:rPr>
        <w:t xml:space="preserve"> DNA samples</w:t>
      </w:r>
      <w:r w:rsidR="004B5B58">
        <w:rPr>
          <w:rFonts w:ascii="-webkit-standard" w:hAnsi="-webkit-standard"/>
          <w:color w:val="000000"/>
        </w:rPr>
        <w:t xml:space="preserve"> (</w:t>
      </w:r>
      <w:r w:rsidR="000159AC">
        <w:rPr>
          <w:rFonts w:ascii="-webkit-standard" w:hAnsi="-webkit-standard"/>
          <w:color w:val="000000"/>
        </w:rPr>
        <w:t>3</w:t>
      </w:r>
      <w:r w:rsidR="009E42F7">
        <w:rPr>
          <w:rFonts w:ascii="-webkit-standard" w:hAnsi="-webkit-standard"/>
          <w:color w:val="000000"/>
        </w:rPr>
        <w:t>0</w:t>
      </w:r>
      <w:r w:rsidR="004B5B58">
        <w:rPr>
          <w:rFonts w:ascii="-webkit-standard" w:hAnsi="-webkit-standard"/>
          <w:color w:val="000000"/>
        </w:rPr>
        <w:t xml:space="preserve"> animals</w:t>
      </w:r>
      <w:r w:rsidR="009E42F7">
        <w:rPr>
          <w:rFonts w:ascii="-webkit-standard" w:hAnsi="-webkit-standard"/>
          <w:color w:val="000000"/>
        </w:rPr>
        <w:t xml:space="preserve"> each library) of susceptible and resistant </w:t>
      </w:r>
      <w:r w:rsidR="008470CE">
        <w:rPr>
          <w:rFonts w:ascii="-webkit-standard" w:hAnsi="-webkit-standard"/>
          <w:color w:val="000000"/>
        </w:rPr>
        <w:t>animals were constructed using the Illumina TruSeq DNA PCR free kit (350bp insert).</w:t>
      </w:r>
      <w:r>
        <w:rPr>
          <w:rFonts w:ascii="-webkit-standard" w:hAnsi="-webkit-standard"/>
          <w:color w:val="000000"/>
        </w:rPr>
        <w:t xml:space="preserve"> </w:t>
      </w:r>
      <w:r w:rsidR="009E42F7">
        <w:rPr>
          <w:rFonts w:ascii="-webkit-standard" w:hAnsi="-webkit-standard"/>
          <w:color w:val="000000"/>
        </w:rPr>
        <w:t>Sequencing was performed in Edinburgh Genomics facilities using two lanes of Illumina HiSeq 4000.</w:t>
      </w:r>
      <w:r w:rsidR="00A46507">
        <w:rPr>
          <w:rFonts w:ascii="-webkit-standard" w:hAnsi="-webkit-standard"/>
          <w:color w:val="000000"/>
        </w:rPr>
        <w:t xml:space="preserve"> </w:t>
      </w:r>
      <w:r w:rsidR="00A46507" w:rsidRPr="00653962">
        <w:t xml:space="preserve">The reads were deposited at the NCBI Sequence Read Archive (SRA) under the accession </w:t>
      </w:r>
      <w:r w:rsidR="00A46507" w:rsidRPr="00653962">
        <w:rPr>
          <w:rFonts w:eastAsia="Times New Roman"/>
          <w:color w:val="222222"/>
          <w:shd w:val="clear" w:color="auto" w:fill="FFFFFF"/>
        </w:rPr>
        <w:t>PRJNA414021</w:t>
      </w:r>
      <w:r w:rsidR="00A46507">
        <w:rPr>
          <w:rFonts w:eastAsia="Times New Roman"/>
          <w:color w:val="222222"/>
          <w:shd w:val="clear" w:color="auto" w:fill="FFFFFF"/>
        </w:rPr>
        <w:t>.</w:t>
      </w:r>
    </w:p>
    <w:p w14:paraId="00EB994C" w14:textId="77777777" w:rsidR="00B078FA" w:rsidRDefault="00B078FA" w:rsidP="00A46507">
      <w:pPr>
        <w:spacing w:line="480" w:lineRule="auto"/>
        <w:jc w:val="both"/>
        <w:rPr>
          <w:rFonts w:eastAsia="Times New Roman"/>
        </w:rPr>
      </w:pPr>
    </w:p>
    <w:bookmarkEnd w:id="4"/>
    <w:bookmarkEnd w:id="5"/>
    <w:p w14:paraId="6964A364" w14:textId="790801E7" w:rsidR="00C27580" w:rsidRPr="00C27580" w:rsidRDefault="005E7480" w:rsidP="00CE256E">
      <w:pPr>
        <w:spacing w:line="480" w:lineRule="auto"/>
        <w:jc w:val="both"/>
        <w:rPr>
          <w:b/>
        </w:rPr>
      </w:pPr>
      <w:r>
        <w:rPr>
          <w:b/>
        </w:rPr>
        <w:t>SNP discovery and genotyping</w:t>
      </w:r>
    </w:p>
    <w:p w14:paraId="54DD28AB" w14:textId="605BBB4F" w:rsidR="00A960D1" w:rsidRDefault="00BB51FA" w:rsidP="00A960D1">
      <w:pPr>
        <w:spacing w:line="480" w:lineRule="auto"/>
        <w:jc w:val="both"/>
      </w:pPr>
      <w:r>
        <w:t xml:space="preserve">The process of obtaining the SNP genotype data from the RADSeq reads was described in </w:t>
      </w:r>
      <w:r w:rsidR="00A960D1">
        <w:t xml:space="preserve">detail in Palaikostas </w:t>
      </w:r>
      <w:r w:rsidR="00A960D1" w:rsidRPr="00F75495">
        <w:rPr>
          <w:i/>
        </w:rPr>
        <w:t>et al</w:t>
      </w:r>
      <w:r w:rsidR="00A960D1">
        <w:t xml:space="preserve"> (2018). Briefly, sequenced </w:t>
      </w:r>
      <w:r w:rsidR="00CE256E">
        <w:t xml:space="preserve">reads were aligned to </w:t>
      </w:r>
      <w:r w:rsidR="00ED3523">
        <w:t xml:space="preserve">the </w:t>
      </w:r>
      <w:r w:rsidR="009C1F40">
        <w:t>common carp</w:t>
      </w:r>
      <w:r w:rsidR="00CE256E">
        <w:t xml:space="preserve"> reference genome</w:t>
      </w:r>
      <w:r w:rsidR="00C23F66">
        <w:t xml:space="preserve"> </w:t>
      </w:r>
      <w:r w:rsidR="00ED3523">
        <w:t xml:space="preserve">assembly </w:t>
      </w:r>
      <w:r w:rsidR="00C23F66">
        <w:t xml:space="preserve">version </w:t>
      </w:r>
      <w:r w:rsidR="009C4899" w:rsidRPr="00A03DCE">
        <w:rPr>
          <w:i/>
        </w:rPr>
        <w:t>GCA_000951615.2</w:t>
      </w:r>
      <w:r w:rsidR="009C4899">
        <w:t xml:space="preserve"> </w:t>
      </w:r>
      <w:r w:rsidR="006D1A44">
        <w:fldChar w:fldCharType="begin" w:fldLock="1"/>
      </w:r>
      <w:r w:rsidR="00C242BD">
        <w:instrText>ADDIN CSL_CITATION { "citationItems" : [ { "id" : "ITEM-1", "itemData" : { "DOI" : "10.1038/ng.3098 http://www.nature.com/ng/journal/vaop/ncurrent/abs/ng.3098.html#supplementary-information", "ISBN" : "1546-1718", "ISSN" : "1546-1718", "abstract" : "The common carp, Cyprinus carpio, is one of the most important cyprinid species and globally accounts for 10{%} of freshwater aquaculture production. Here we present a draft genome of domesticated C. carpio (strain Songpu), whose current assembly contains 52,610 protein-coding genes and approximately 92.3{%} coverage of its paleotetraploidized genome (2n = 100). The latest round of whole-genome duplication has been estimated to have occurred approximately 8.2 million years ago. Genome resequencing of 33 representative individuals from worldwide populations demonstrates a single origin for C. carpio in 2 subspecies (C. carpio Haematopterus and C. carpio carpio). Integrative genomic and transcriptomic analyses were used to identify loci potentially associated with traits including scaling patterns and skin color. In combination with the high-resolution genetic map, the draft genome paves the way for better molecular studies and improved genome-assisted breeding of C. carpio and other closely related species.", "author" : [ { "dropping-particle" : "", "family" : "Xu", "given" : "Peng", "non-dropping-particle" : "", "parse-names" : false, "suffix" : "" }, { "dropping-particle" : "", "family" : "Zhang", "given" : "Xiaofeng", "non-dropping-particle" : "", "parse-names" : false, "suffix" : "" }, { "dropping-particle" : "", "family" : "Wang", "given" : "Xumin", "non-dropping-particle" : "", "parse-names" : false, "suffix" : "" }, { "dropping-particle" : "", "family" : "Li", "given" : "Jiongtang", "non-dropping-particle" : "", "parse-names" : false, "suffix" : "" }, { "dropping-particle" : "", "family" : "Liu", "given" : "Guiming", "non-dropping-particle" : "", "parse-names" : false, "suffix" : "" }, { "dropping-particle" : "", "family" : "Kuang", "given" : "Youyi", "non-dropping-particle" : "", "parse-names" : false, "suffix" : "" }, { "dropping-particle" : "", "family" : "Xu", "given" : "Jian", "non-dropping-particle" : "", "parse-names" : false, "suffix" : "" }, { "dropping-particle" : "", "family" : "Zheng", "given" : "Xianhu", "non-dropping-particle" : "", "parse-names" : false, "suffix" : "" }, { "dropping-particle" : "", "family" : "Ren", "given" : "Lufeng", "non-dropping-particle" : "", "parse-names" : false, "suffix" : "" }, { "dropping-particle" : "", "family" : "Wang", "given" : "Guoliang", "non-dropping-particle" : "", "parse-names" : false, "suffix" : "" }, { "dropping-particle" : "", "family" : "Zhang", "given" : "Yan", "non-dropping-particle" : "", "parse-names" : false, "suffix" : "" }, { "dropping-particle" : "", "family" : "Huo", "given" : "Linhe", "non-dropping-particle" : "", "parse-names" : false, "suffix" : "" }, { "dropping-particle" : "", "family" : "Zhao", "given" : "Zixia", "non-dropping-particle" : "", "parse-names" : false, "suffix" : "" }, { "dropping-particle" : "", "family" : "Cao", "given" : "Dingchen", "non-dropping-particle" : "", "parse-names" : false, "suffix" : "" }, { "dropping-particle" : "", "family" : "Lu", "given" : "Cuiyun", "non-dropping-particle" : "", "parse-names" : false, "suffix" : "" }, { "dropping-particle" : "", "family" : "Li", "given" : "Chao", "non-dropping-particle" : "", "parse-names" : false, "suffix" : "" }, { "dropping-particle" : "", "family" : "Zhou", "given" : "Yi", "non-dropping-particle" : "", "parse-names" : false, "suffix" : "" }, { "dropping-particle" : "", "family" : "Liu", "given" : "Zhanjiang", "non-dropping-particle" : "", "parse-names" : false, "suffix" : "" }, { "dropping-particle" : "", "family" : "Fan", "given" : "Zhonghua", "non-dropping-particle" : "", "parse-names" : false, "suffix" : "" }, { "dropping-particle" : "", "family" : "Shan", "given" : "Guangle", "non-dropping-particle" : "", "parse-names" : false, "suffix" : "" }, { "dropping-particle" : "", "family" : "Li", "given" : "Xingang", "non-dropping-particle" : "", "parse-names" : false, "suffix" : "" }, { "dropping-particle" : "", "family" : "Wu", "given" : "Shuangxiu", "non-dropping-particle" : "", "parse-names" : false, "suffix" : "" }, { "dropping-particle" : "", "family" : "Song", "given" : "Lipu", "non-dropping-particle" : "", "parse-names" : false, "suffix" : "" }, { "dropping-particle" : "", "family" : "Hou", "given" : "Guangyuan", "non-dropping-particle" : "", "parse-names" : false, "suffix" : "" }, { "dropping-particle" : "", "family" : "Jiang", "given" : "Yanliang", "non-dropping-particle" : "", "parse-names" : false, "suffix" : "" }, { "dropping-particle" : "", "family" : "Jeney", "given" : "Zsigmond", "non-dropping-particle" : "", "parse-names" : false, "suffix" : "" }, { "dropping-particle" : "", "family" : "Yu", "given" : "Dan", "non-dropping-particle" : "", "parse-names" : false, "suffix" : "" }, { "dropping-particle" : "", "family" : "Wang", "given" : "Li", "non-dropping-particle" : "", "parse-names" : false, "suffix" : "" }, { "dropping-particle" : "", "family" : "Shao", "given" : "Changjun", "non-dropping-particle" : "", "parse-names" : false, "suffix" : "" }, { "dropping-particle" : "", "family" : "Song", "given" : "Lai", "non-dropping-particle" : "", "parse-names" : false, "suffix" : "" }, { "dropping-particle" : "", "family" : "Sun", "given" : "Jing", "non-dropping-particle" : "", "parse-names" : false, "suffix" : "" }, { "dropping-particle" : "", "family" : "Ji", "given" : "Peifeng", "non-dropping-particle" : "", "parse-names" : false, "suffix" : "" }, { "dropping-particle" : "", "family" : "Wang", "given" : "Jian", "non-dropping-particle" : "", "parse-names" : false, "suffix" : "" }, { "dropping-particle" : "", "family" : "Li", "given" : "Qiang", "non-dropping-particle" : "", "parse-names" : false, "suffix" : "" }, { "dropping-particle" : "", "family" : "Xu", "given" : "Liming", "non-dropping-particle" : "", "parse-names" : false, "suffix" : "" }, { "dropping-particle" : "", "family" : "Sun", "given" : "Fanyue", "non-dropping-particle" : "", "parse-names" : false, "suffix" : "" }, { "dropping-particle" : "", "family" : "Feng", "given" : "Jianxin", "non-dropping-particle" : "", "parse-names" : false, "suffix" : "" }, { "dropping-particle" : "", "family" : "Wang", "given" : "Chenghui", "non-dropping-particle" : "", "parse-names" : false, "suffix" : "" }, { "dropping-particle" : "", "family" : "Wang", "given" : "Shaolin", "non-dropping-particle" : "", "parse-names" : false, "suffix" : "" }, { "dropping-particle" : "", "family" : "Wang", "given" : "Baosen", "non-dropping-particle" : "", "parse-names" : false, "suffix" : "" }, { "dropping-particle" : "", "family" : "Li", "given" : "Yan", "non-dropping-particle" : "", "parse-names" : false, "suffix" : "" }, { "dropping-particle" : "", "family" : "Zhu", "given" : "Yaping", "non-dropping-particle" : "", "parse-names" : false, "suffix" : "" }, { "dropping-particle" : "", "family" : "Xue", "given" : "Wei", "non-dropping-particle" : "", "parse-names" : false, "suffix" : "" }, { "dropping-particle" : "", "family" : "Zhao", "given" : "Lan", "non-dropping-particle" : "", "parse-names" : false, "suffix" : "" }, { "dropping-particle" : "", "family" : "Wang", "given" : "Jintu", "non-dropping-particle" : "", "parse-names" : false, "suffix" : "" }, { "dropping-particle" : "", "family" : "Gu", "given" : "Ying", "non-dropping-particle" : "", "parse-names" : false, "suffix" : "" }, { "dropping-particle" : "", "family" : "Lv", "given" : "Weihua", "non-dropping-particle" : "", "parse-names" : false, "suffix" : "" }, { "dropping-particle" : "", "family" : "Wu", "given" : "Kejing", "non-dropping-particle" : "", "parse-names" : false, "suffix" : "" }, { "dropping-particle" : "", "family" : "Xiao", "given" : "Jingfa", "non-dropping-particle" : "", "parse-names" : false, "suffix" : "" }, { "dropping-particle" : "", "family" : "Wu", "given" : "Jiayan", "non-dropping-particle" : "", "parse-names" : false, "suffix" : "" }, { "dropping-particle" : "", "family" : "Zhang", "given" : "Zhang", "non-dropping-particle" : "", "parse-names" : false, "suffix" : "" }, { "dropping-particle" : "", "family" : "Yu", "given" : "Jun", "non-dropping-particle" : "", "parse-names" : false, "suffix" : "" }, { "dropping-particle" : "", "family" : "Sun", "given" : "Xiaowen", "non-dropping-particle" : "", "parse-names" : false, "suffix" : "" } ], "container-title" : "Nat Genet", "id" : "ITEM-1", "issued" : { "date-parts" : [ [ "2014" ] ] }, "page" : "--", "title" : "Genome sequence and genetic diversity of the common carp, Cyprinus carpio", "type" : "article-journal", "volume" : "advance on" }, "uris" : [ "http://www.mendeley.com/documents/?uuid=b8ad7dc5-2039-4d7a-a6fe-646a00fed206", "http://www.mendeley.com/documents/?uuid=46bbc799-2e21-4ae6-b280-53c970a34e0d" ] } ], "mendeley" : { "formattedCitation" : "(Xu &lt;i&gt;et al.&lt;/i&gt; 2014)", "plainTextFormattedCitation" : "(Xu et al. 2014)", "previouslyFormattedCitation" : "(Xu &lt;i&gt;et al.&lt;/i&gt; 2014)" }, "properties" : {  }, "schema" : "https://github.com/citation-style-language/schema/raw/master/csl-citation.json" }</w:instrText>
      </w:r>
      <w:r w:rsidR="006D1A44">
        <w:fldChar w:fldCharType="separate"/>
      </w:r>
      <w:r w:rsidR="00B80103" w:rsidRPr="00B80103">
        <w:rPr>
          <w:noProof/>
        </w:rPr>
        <w:t xml:space="preserve">(Xu </w:t>
      </w:r>
      <w:r w:rsidR="00B80103" w:rsidRPr="00B80103">
        <w:rPr>
          <w:i/>
          <w:noProof/>
        </w:rPr>
        <w:t>et al.</w:t>
      </w:r>
      <w:r w:rsidR="00B80103" w:rsidRPr="00B80103">
        <w:rPr>
          <w:noProof/>
        </w:rPr>
        <w:t xml:space="preserve"> 2014)</w:t>
      </w:r>
      <w:r w:rsidR="006D1A44">
        <w:fldChar w:fldCharType="end"/>
      </w:r>
      <w:r w:rsidR="009C4899">
        <w:t xml:space="preserve"> </w:t>
      </w:r>
      <w:r w:rsidR="00CE256E">
        <w:t>using bowtie2</w:t>
      </w:r>
      <w:r w:rsidR="008A4367">
        <w:t xml:space="preserve"> </w:t>
      </w:r>
      <w:r w:rsidR="006D1A44">
        <w:lastRenderedPageBreak/>
        <w:fldChar w:fldCharType="begin" w:fldLock="1"/>
      </w:r>
      <w:r w:rsidR="00C242BD">
        <w:instrText>ADDIN CSL_CITATION { "citationItems" : [ { "id" : "ITEM-1", "itemData" : { "DOI" : "10.1038/nmeth.1923", "ISBN" : "1548-7105 (Electronic)\\r1548-7091 (Linking)", "ISSN" : "1548-7091", "PMID" : "22388286", "abstract" : "As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 "author" : [ { "dropping-particle" : "", "family" : "Langmead", "given" : "Ben", "non-dropping-particle" : "", "parse-names" : false, "suffix" : "" }, { "dropping-particle" : "", "family" : "Salzberg", "given" : "Steven L", "non-dropping-particle" : "", "parse-names" : false, "suffix" : "" } ], "container-title" : "Nature Methods", "id" : "ITEM-1", "issue" : "4", "issued" : { "date-parts" : [ [ "2012" ] ] }, "page" : "357-359", "title" : "Fast gapped-read alignment with Bowtie 2", "type" : "article", "volume" : "9" }, "uris" : [ "http://www.mendeley.com/documents/?uuid=a7232a48-6bf5-44dd-8041-535e3f66f26d", "http://www.mendeley.com/documents/?uuid=29ac2221-7067-4680-b3bb-68acb6ff914a" ] } ], "mendeley" : { "formattedCitation" : "(Langmead and Salzberg 2012)", "plainTextFormattedCitation" : "(Langmead and Salzberg 2012)", "previouslyFormattedCitation" : "(Langmead and Salzberg 2012)" }, "properties" : {  }, "schema" : "https://github.com/citation-style-language/schema/raw/master/csl-citation.json" }</w:instrText>
      </w:r>
      <w:r w:rsidR="006D1A44">
        <w:fldChar w:fldCharType="separate"/>
      </w:r>
      <w:r w:rsidR="00924D5A" w:rsidRPr="00924D5A">
        <w:rPr>
          <w:noProof/>
        </w:rPr>
        <w:t>(Langmead and Salzberg 2012)</w:t>
      </w:r>
      <w:r w:rsidR="006D1A44">
        <w:fldChar w:fldCharType="end"/>
      </w:r>
      <w:r w:rsidR="00CE256E">
        <w:t xml:space="preserve">. </w:t>
      </w:r>
      <w:r w:rsidR="00ED3523">
        <w:t>The a</w:t>
      </w:r>
      <w:r w:rsidR="00CE256E">
        <w:t>ligned</w:t>
      </w:r>
      <w:r w:rsidR="00D62B6E" w:rsidRPr="00611076">
        <w:t xml:space="preserve"> reads were</w:t>
      </w:r>
      <w:r w:rsidR="00D62B6E">
        <w:t xml:space="preserve"> </w:t>
      </w:r>
      <w:r w:rsidR="00D62B6E" w:rsidRPr="00611076">
        <w:t xml:space="preserve">sorted into </w:t>
      </w:r>
      <w:r w:rsidR="0090371B">
        <w:t xml:space="preserve">RAD </w:t>
      </w:r>
      <w:r w:rsidR="00D62B6E" w:rsidRPr="00611076">
        <w:t xml:space="preserve">loci and </w:t>
      </w:r>
      <w:r w:rsidR="00A960D1">
        <w:t>SNPs were identified</w:t>
      </w:r>
      <w:r w:rsidR="00483471">
        <w:t xml:space="preserve"> using </w:t>
      </w:r>
      <w:r w:rsidR="00ED3523">
        <w:t xml:space="preserve">the </w:t>
      </w:r>
      <w:r w:rsidR="00483471">
        <w:t>Stacks software 1.4</w:t>
      </w:r>
      <w:r w:rsidR="00D62B6E">
        <w:t xml:space="preserve"> </w:t>
      </w:r>
      <w:r w:rsidR="006D1A44">
        <w:fldChar w:fldCharType="begin" w:fldLock="1"/>
      </w:r>
      <w:r w:rsidR="00C242BD">
        <w:instrText>ADDIN CSL_CITATION { "citationItems" : [ { "id" : "ITEM-1", "itemData" : { "DOI" : "10.1534/g3.111.000240", "ISSN" : "2160-1836", "PMID" : "22384329", "abstract" : "Advances in sequencing technology provide special opportunities for genotyping individuals with speed and thrift, but the lack of software to automate the calling of tens of thousands of genotypes over hundreds of individuals has hindered progress. Stacks is a software system that uses short-read sequence data to identify and genotype loci in a set of individuals either de novo or by comparison to a reference genome. From reduced representation Illumina sequence data, such as RAD-tags, Stacks can recover thousands of single nucleotide polymorphism (SNP) markers useful for the genetic analysis of crosses or populations. Stacks can generate markers for ultra-dense genetic linkage maps, facilitate the examination of population phylogeography, and help in reference genome assembly. We report here the algorithms implemented in Stacks and demonstrate their efficacy by constructing loci from simulated RAD-tags taken from the stickleback reference genome and by recapitulating and improving a genetic map of the zebrafish, Danio rerio.", "author" : [ { "dropping-particle" : "", "family" : "Catchen", "given" : "Julian M", "non-dropping-particle" : "", "parse-names" : false, "suffix" : "" }, { "dropping-particle" : "", "family" : "Amores", "given" : "Angel", "non-dropping-particle" : "", "parse-names" : false, "suffix" : "" }, { "dropping-particle" : "", "family" : "Hohenlohe", "given" : "Paul", "non-dropping-particle" : "", "parse-names" : false, "suffix" : "" }, { "dropping-particle" : "", "family" : "Cresko", "given" : "William", "non-dropping-particle" : "", "parse-names" : false, "suffix" : "" }, { "dropping-particle" : "", "family" : "Postlethwait", "given" : "John H", "non-dropping-particle" : "", "parse-names" : false, "suffix" : "" } ], "container-title" : "G3 (Bethesda, Md.)", "id" : "ITEM-1", "issue" : "3", "issued" : { "date-parts" : [ [ "2011", "8" ] ] }, "page" : "171-82", "title" : "Stacks: building and genotyping Loci de novo from short-read sequences.", "type" : "article-journal", "volume" : "1" }, "uris" : [ "http://www.mendeley.com/documents/?uuid=3d03caad-0082-46e7-902b-4c5ebdd3d8eb", "http://www.mendeley.com/documents/?uuid=9e8f9eb4-c49e-4ddd-bd71-433d2e97ba29" ] } ], "mendeley" : { "formattedCitation" : "(Catchen &lt;i&gt;et al.&lt;/i&gt; 2011)", "plainTextFormattedCitation" : "(Catchen et al. 2011)", "previouslyFormattedCitation" : "(Catchen &lt;i&gt;et al.&lt;/i&gt; 2011)" }, "properties" : {  }, "schema" : "https://github.com/citation-style-language/schema/raw/master/csl-citation.json" }</w:instrText>
      </w:r>
      <w:r w:rsidR="006D1A44">
        <w:fldChar w:fldCharType="separate"/>
      </w:r>
      <w:r w:rsidR="00EA7D44" w:rsidRPr="00EA7D44">
        <w:rPr>
          <w:noProof/>
        </w:rPr>
        <w:t xml:space="preserve">(Catchen </w:t>
      </w:r>
      <w:r w:rsidR="00EA7D44" w:rsidRPr="00EA7D44">
        <w:rPr>
          <w:i/>
          <w:noProof/>
        </w:rPr>
        <w:t>et al.</w:t>
      </w:r>
      <w:r w:rsidR="00EA7D44" w:rsidRPr="00EA7D44">
        <w:rPr>
          <w:noProof/>
        </w:rPr>
        <w:t xml:space="preserve"> 2011)</w:t>
      </w:r>
      <w:r w:rsidR="006D1A44">
        <w:fldChar w:fldCharType="end"/>
      </w:r>
      <w:r w:rsidR="00ED3523">
        <w:t>.</w:t>
      </w:r>
      <w:r w:rsidR="00D62B6E" w:rsidRPr="00611076">
        <w:t xml:space="preserve"> </w:t>
      </w:r>
      <w:r w:rsidR="006907E8">
        <w:t xml:space="preserve">The </w:t>
      </w:r>
      <w:r w:rsidR="00A960D1">
        <w:t>SNPs</w:t>
      </w:r>
      <w:r w:rsidR="006907E8">
        <w:t xml:space="preserve"> were </w:t>
      </w:r>
      <w:r w:rsidR="009C2C82">
        <w:t xml:space="preserve">detected using a </w:t>
      </w:r>
      <w:r w:rsidR="00530920">
        <w:t>minimum stack depth of at least</w:t>
      </w:r>
      <w:r w:rsidR="00D62B6E" w:rsidRPr="00611076">
        <w:t xml:space="preserve"> </w:t>
      </w:r>
      <w:r w:rsidR="009C2C82">
        <w:t>ten</w:t>
      </w:r>
      <w:r w:rsidR="00530920">
        <w:t xml:space="preserve"> or </w:t>
      </w:r>
      <w:r w:rsidR="009C2C82">
        <w:t>five</w:t>
      </w:r>
      <w:r w:rsidR="0026475A">
        <w:t xml:space="preserve"> for the parental </w:t>
      </w:r>
      <w:r w:rsidR="00530920">
        <w:t>and offspring samples respectively</w:t>
      </w:r>
      <w:r w:rsidR="00D62B6E" w:rsidRPr="00611076">
        <w:t>.</w:t>
      </w:r>
      <w:r w:rsidR="00064855">
        <w:t xml:space="preserve"> SNPs with minor a</w:t>
      </w:r>
      <w:r w:rsidR="001941E2">
        <w:t>llele frequency (MAF) below 0.01</w:t>
      </w:r>
      <w:r w:rsidR="00F91699">
        <w:t xml:space="preserve">, </w:t>
      </w:r>
      <w:r w:rsidR="00ED3523">
        <w:t xml:space="preserve">greater than </w:t>
      </w:r>
      <w:r w:rsidR="001941E2">
        <w:t>20</w:t>
      </w:r>
      <w:r w:rsidR="001F1F56">
        <w:t xml:space="preserve"> </w:t>
      </w:r>
      <w:r w:rsidR="00211699">
        <w:t>%</w:t>
      </w:r>
      <w:r w:rsidR="00ED3523">
        <w:t xml:space="preserve"> missing data,</w:t>
      </w:r>
      <w:r w:rsidR="00F91699">
        <w:t xml:space="preserve"> and deviating from expected Hardy-Weinberg equilibrium</w:t>
      </w:r>
      <w:r w:rsidR="00ED3523">
        <w:t xml:space="preserve"> in the parental samples</w:t>
      </w:r>
      <w:r w:rsidR="00F91699">
        <w:t xml:space="preserve"> (</w:t>
      </w:r>
      <w:r w:rsidR="00B60AA9">
        <w:t xml:space="preserve">P </w:t>
      </w:r>
      <w:r w:rsidR="00F91699">
        <w:t xml:space="preserve">&lt; 1e-06) </w:t>
      </w:r>
      <w:r w:rsidR="00064855">
        <w:t>were discarded.</w:t>
      </w:r>
      <w:r w:rsidR="00A960D1">
        <w:t xml:space="preserve"> </w:t>
      </w:r>
      <w:r w:rsidR="00A960D1" w:rsidRPr="00B30311">
        <w:t>R/hsphase</w:t>
      </w:r>
      <w:r w:rsidR="0076127B">
        <w:t xml:space="preserve"> </w:t>
      </w:r>
      <w:r w:rsidR="006D1A44">
        <w:fldChar w:fldCharType="begin" w:fldLock="1"/>
      </w:r>
      <w:r w:rsidR="0076127B">
        <w:instrText>ADDIN CSL_CITATION { "citationItems" : [ { "id" : "ITEM-1", "itemData" : { "DOI" : "10.1186/1471-2105-15-172", "ISBN" : "1471-2105", "ISSN" : "14712105", "PMID" : "24906803", "abstract" : "BACKGROUND: Identification of recombination events and which chromosomal segments contributed to an individual is useful for a number of applications in genomic analyses including haplotyping, imputation, signatures of selection, and improved estimates of relationship and probability of identity by descent. Genotypic data on half-sib family groups are widely available in livestock genomics. This structure makes it possible to identify recombination events accurately even with only a few individuals and it lends itself well to a range of applications such as parentage assignment and pedigree verification.\\n\\nRESULTS: Here we present hsphase, an R package that exploits the genetic structure found in half-sib livestock data to identify and count recombination events, impute and phase un-genotyped sires and phase its offspring. The package also allows reconstruction of family groups (pedigree inference), identification of pedigree errors and parentage assignment. Additional functions in the package allow identification of genomic mapping errors, imputation of paternal high density genotypes from low density genotypes, evaluation of phasing results either from hsphase or from other phasing programs. Various diagnostic plotting functions permit rapid visual inspection of results and evaluation of datasets.\\n\\nCONCLUSION: The hsphase package provides a suite of functions for analysis and visualization of genomic structures in half-sib family groups implemented in the widely used R programming environment. Low level functions were implemented in C++ and parallelized to improve performance. hsphase was primarily designed for use with high density SNP array data but it is fast enough to run directly on sequence data once they become more widely available. The package is available (GPL 3) from the Comprehensive R Archive Network (CRAN) or from http://www-personal.une.edu.au/~cgondro2/hsphase.htm.", "author" : [ { "dropping-particle" : "", "family" : "Ferdosi", "given" : "Mohammad H.", "non-dropping-particle" : "", "parse-names" : false, "suffix" : "" }, { "dropping-particle" : "", "family" : "Kinghorn", "given" : "Brian P.", "non-dropping-particle" : "", "parse-names" : false, "suffix" : "" }, { "dropping-particle" : "", "family" : "Werf", "given" : "Julius H.J.", "non-dropping-particle" : "van der", "parse-names" : false, "suffix" : "" }, { "dropping-particle" : "", "family" : "Lee", "given" : "Seung H.", "non-dropping-particle" : "", "parse-names" : false, "suffix" : "" }, { "dropping-particle" : "", "family" : "Gondro", "given" : "Cedric", "non-dropping-particle" : "", "parse-names" : false, "suffix" : "" } ], "container-title" : "BMC Bioinformatics", "id" : "ITEM-1", "issue" : "1", "issued" : { "date-parts" : [ [ "2014" ] ] }, "title" : "hsphase: An R package for pedigree reconstruction, detection of recombination events, phasing and imputation of half-sib family groups", "type" : "article-journal", "volume" : "15" }, "uris" : [ "http://www.mendeley.com/documents/?uuid=7e61acc0-1a73-4153-8544-abbf8509d3a1" ] } ], "mendeley" : { "formattedCitation" : "(Ferdosi &lt;i&gt;et al.&lt;/i&gt; 2014)", "plainTextFormattedCitation" : "(Ferdosi et al. 2014)", "previouslyFormattedCitation" : "(Ferdosi &lt;i&gt;et al.&lt;/i&gt; 2014)" }, "properties" : {  }, "schema" : "https://github.com/citation-style-language/schema/raw/master/csl-citation.json" }</w:instrText>
      </w:r>
      <w:r w:rsidR="006D1A44">
        <w:fldChar w:fldCharType="separate"/>
      </w:r>
      <w:r w:rsidR="0076127B" w:rsidRPr="0076127B">
        <w:rPr>
          <w:noProof/>
        </w:rPr>
        <w:t xml:space="preserve">(Ferdosi </w:t>
      </w:r>
      <w:r w:rsidR="0076127B" w:rsidRPr="0076127B">
        <w:rPr>
          <w:i/>
          <w:noProof/>
        </w:rPr>
        <w:t>et al.</w:t>
      </w:r>
      <w:r w:rsidR="0076127B" w:rsidRPr="0076127B">
        <w:rPr>
          <w:noProof/>
        </w:rPr>
        <w:t xml:space="preserve"> 2014)</w:t>
      </w:r>
      <w:r w:rsidR="006D1A44">
        <w:fldChar w:fldCharType="end"/>
      </w:r>
      <w:r w:rsidR="00A960D1">
        <w:t xml:space="preserve"> software was used for parentage assignment</w:t>
      </w:r>
      <w:r w:rsidR="00A960D1" w:rsidRPr="00B30311">
        <w:t xml:space="preserve"> allowing for a maximum genotypi</w:t>
      </w:r>
      <w:r w:rsidR="00A960D1">
        <w:t>ng error of 4 %</w:t>
      </w:r>
      <w:r w:rsidR="00A960D1" w:rsidRPr="00B30311">
        <w:t>.</w:t>
      </w:r>
      <w:r w:rsidR="00A960D1">
        <w:t xml:space="preserve"> The pedigree obtained was further validated for possible erroneous assignments using FImpute </w:t>
      </w:r>
      <w:r w:rsidR="006D1A44">
        <w:fldChar w:fldCharType="begin" w:fldLock="1"/>
      </w:r>
      <w:r w:rsidR="00A960D1">
        <w:instrText>ADDIN CSL_CITATION { "citationItems" : [ { "id" : "ITEM-1", "itemData" : { "DOI" : "10.1186/1471-2164-15-478", "ISSN" : "1471-2164", "PMID" : "24935670", "abstract" : "Genotype imputation can help reduce genotyping costs particularly for implementation of genomic selection. In applications entailing large populations, recovering the genotypes of untyped loci using information from reference individuals that were genotyped with a higher density panel is computationally challenging. Popular imputation methods are based upon the Hidden Markov model and have computational constraints due to an intensive sampling process. A fast, deterministic approach, which makes use of both family and population information, is presented here. All individuals are related and, therefore, share haplotypes which may differ in length and frequency based on their relationships. The method starts with family imputation if pedigree information is available, and then exploits close relationships by searching for long haplotype matches in the reference group using overlapping sliding windows. The search continues as the window size is shrunk in each chromosome sweep in order to capture more distant relationships. The proposed method gave higher or similar imputation accuracy than Beagle and Impute2 in cattle data sets when all available information was used. When close relatives of target individuals were present in the reference group, the method resulted in higher accuracy compared to the other two methods even when the pedigree was not used. Rare variants were also imputed with higher accuracy. Finally, computing requirements were considerably lower than those of Beagle and Impute2. The presented method took 28 minutes to impute from 6 k to 50 k genotypes for 2,000 individuals with a reference size of 64,429 individuals. The proposed method efficiently makes use of information from close and distant relatives for accurate genotype imputation. In addition to its high imputation accuracy, the method is fast, owing to its deterministic nature and, therefore, it can easily be used in large data sets where the use of other methods is impractical.", "author" : [ { "dropping-particle" : "", "family" : "Sargolzaei", "given" : "Mehdi", "non-dropping-particle" : "", "parse-names" : false, "suffix" : "" }, { "dropping-particle" : "", "family" : "Chesnais", "given" : "Jacques P", "non-dropping-particle" : "", "parse-names" : false, "suffix" : "" }, { "dropping-particle" : "", "family" : "Schenkel", "given" : "Flavio S", "non-dropping-particle" : "", "parse-names" : false, "suffix" : "" } ], "container-title" : "BMC Genomics", "id" : "ITEM-1", "issue" : "1", "issued" : { "date-parts" : [ [ "2014" ] ] }, "page" : "478", "title" : "A new approach for efficient genotype imputation using information from relatives", "type" : "article-journal", "volume" : "15" }, "uris" : [ "http://www.mendeley.com/documents/?uuid=f636b567-b762-4075-bdd5-c1ce800d50fb", "http://www.mendeley.com/documents/?uuid=1c864a19-1782-43de-96df-6e7fb7ba5ea3" ] } ], "mendeley" : { "formattedCitation" : "(Sargolzaei &lt;i&gt;et al.&lt;/i&gt; 2014)", "plainTextFormattedCitation" : "(Sargolzaei et al. 2014)", "previouslyFormattedCitation" : "(Sargolzaei &lt;i&gt;et al.&lt;/i&gt; 2014)" }, "properties" : {  }, "schema" : "https://github.com/citation-style-language/schema/raw/master/csl-citation.json" }</w:instrText>
      </w:r>
      <w:r w:rsidR="006D1A44">
        <w:fldChar w:fldCharType="separate"/>
      </w:r>
      <w:r w:rsidR="00A960D1" w:rsidRPr="009A795F">
        <w:rPr>
          <w:noProof/>
        </w:rPr>
        <w:t xml:space="preserve">(Sargolzaei </w:t>
      </w:r>
      <w:r w:rsidR="00A960D1" w:rsidRPr="009A795F">
        <w:rPr>
          <w:i/>
          <w:noProof/>
        </w:rPr>
        <w:t>et al.</w:t>
      </w:r>
      <w:r w:rsidR="00A960D1" w:rsidRPr="009A795F">
        <w:rPr>
          <w:noProof/>
        </w:rPr>
        <w:t xml:space="preserve"> 2014)</w:t>
      </w:r>
      <w:r w:rsidR="006D1A44">
        <w:fldChar w:fldCharType="end"/>
      </w:r>
      <w:r w:rsidR="00A960D1">
        <w:t>. In total</w:t>
      </w:r>
      <w:r w:rsidR="001F1F56">
        <w:t>,</w:t>
      </w:r>
      <w:r w:rsidR="00A960D1">
        <w:t xml:space="preserve"> 1,214 offspring were uniquely assigned, forming 195 full-sib families (40 sires, 20 dams). </w:t>
      </w:r>
      <w:r w:rsidR="001F1F56">
        <w:t xml:space="preserve">Since the carp reference genome assembly is currently very fragemented, </w:t>
      </w:r>
      <w:r w:rsidR="00A960D1">
        <w:t xml:space="preserve">a medium density linkage map of 12,311 SNPs grouped in 50 linkage groups was </w:t>
      </w:r>
      <w:r w:rsidR="001F1F56">
        <w:t>created</w:t>
      </w:r>
      <w:r w:rsidR="00A960D1">
        <w:t xml:space="preserve"> </w:t>
      </w:r>
      <w:r w:rsidR="006D1A44">
        <w:fldChar w:fldCharType="begin" w:fldLock="1"/>
      </w:r>
      <w:r w:rsidR="00A960D1">
        <w:instrText>ADDIN CSL_CITATION { "citationItems" : [ { "id" : "ITEM-1", "itemData" : { "DOI" : "10.3389/FGENE.2018.00082", "ISSN" : "1664-8021", "abstract" : "Cyprinids are the most important farmed fish globally in terms of production volume, with common carp (Cyprinus carpio) being one of the most valuable species of the group. The use of modern selective breeding methods in carp is at a formative stage, implying a large scope for genetic improvement of key production traits. In the current study, a population of 1,425 carp juveniles, originating from a partial factorial cross between 40 sires and 20 dams, was used for investigating the potential of genomic selection for juvenile growth, an example complex production trait. RAD sequencing was used to identify and genotype SNP markers for performing parentage assignment, construction of a medium density genetic map (12,311 SNPs), genome wide association (GWAS) and genomic selection (GS). A moderate heritability was estimated for body length of carp at 120 days (as a proxy of juvenile growth) of 0.33 (s.e. 0.05). No genome-wide significant QTL were identified using a single marker GWAS approach. Genomic prediction of breeding values outperformed pedigree based prediction, resulting in 25% improvement in prediction accuracy. A reduction in SNP density lowered genomic prediction accuracy, although it still outperformed pedigree-based prediction. These results point to the potential for GS to improve economically-important traits in common carp breeding programs.", "author" : [ { "dropping-particle" : "", "family" : "Palaiokostas", "given" : "Christos", "non-dropping-particle" : "", "parse-names" : false, "suffix" : "" }, { "dropping-particle" : "", "family" : "Kocour", "given" : "Martin", "non-dropping-particle" : "", "parse-names" : false, "suffix" : "" }, { "dropping-particle" : "", "family" : "Prchal", "given" : "Martin", "non-dropping-particle" : "", "parse-names" : false, "suffix" : "" }, { "dropping-particle" : "", "family" : "Houston", "given" : "Ross D", "non-dropping-particle" : "", "parse-names" : false, "suffix" : "" } ], "container-title" : "Frontiers in Genetics", "id" : "ITEM-1", "issued" : { "date-parts" : [ [ "2018" ] ] }, "page" : "82", "publisher" : "Frontiers", "title" : "Accuracy of genomic evaluations of juvenile growth rate in common carp (Cyprinus carpio) using genotyping by sequencing", "type" : "article-journal", "volume" : "9" }, "uris" : [ "http://www.mendeley.com/documents/?uuid=ae06102f-3b85-3791-9689-9d773e2edbcd" ] } ], "mendeley" : { "formattedCitation" : "(Palaiokostas &lt;i&gt;et al.&lt;/i&gt; 2018)", "plainTextFormattedCitation" : "(Palaiokostas et al. 2018)", "previouslyFormattedCitation" : "(Palaiokostas &lt;i&gt;et al.&lt;/i&gt; 2018)" }, "properties" : {  }, "schema" : "https://github.com/citation-style-language/schema/raw/master/csl-citation.json" }</w:instrText>
      </w:r>
      <w:r w:rsidR="006D1A44">
        <w:fldChar w:fldCharType="separate"/>
      </w:r>
      <w:r w:rsidR="00A960D1" w:rsidRPr="00A960D1">
        <w:rPr>
          <w:noProof/>
        </w:rPr>
        <w:t xml:space="preserve">(Palaiokostas </w:t>
      </w:r>
      <w:r w:rsidR="00A960D1" w:rsidRPr="00A960D1">
        <w:rPr>
          <w:i/>
          <w:noProof/>
        </w:rPr>
        <w:t>et al.</w:t>
      </w:r>
      <w:r w:rsidR="00A960D1" w:rsidRPr="00A960D1">
        <w:rPr>
          <w:noProof/>
        </w:rPr>
        <w:t xml:space="preserve"> 2018)</w:t>
      </w:r>
      <w:r w:rsidR="006D1A44">
        <w:fldChar w:fldCharType="end"/>
      </w:r>
      <w:r w:rsidR="001F1F56">
        <w:t>, and used to orientate the results from the GWAS</w:t>
      </w:r>
      <w:r w:rsidR="00A960D1">
        <w:t>.</w:t>
      </w:r>
    </w:p>
    <w:p w14:paraId="436DF84B" w14:textId="77777777" w:rsidR="00A960D1" w:rsidRDefault="00A960D1" w:rsidP="000F2FE0">
      <w:pPr>
        <w:pStyle w:val="Heading2"/>
        <w:rPr>
          <w:sz w:val="24"/>
          <w:szCs w:val="24"/>
        </w:rPr>
      </w:pPr>
      <w:bookmarkStart w:id="6" w:name="_Toc246227358"/>
      <w:bookmarkStart w:id="7" w:name="_Toc257275570"/>
    </w:p>
    <w:p w14:paraId="6CDB3CB8" w14:textId="77777777" w:rsidR="000F2FE0" w:rsidRPr="002760DB" w:rsidRDefault="000F2FE0" w:rsidP="000F2FE0">
      <w:pPr>
        <w:pStyle w:val="Heading2"/>
        <w:rPr>
          <w:sz w:val="24"/>
          <w:szCs w:val="24"/>
        </w:rPr>
      </w:pPr>
      <w:r>
        <w:rPr>
          <w:sz w:val="24"/>
          <w:szCs w:val="24"/>
        </w:rPr>
        <w:t>H</w:t>
      </w:r>
      <w:r w:rsidRPr="002760DB">
        <w:rPr>
          <w:sz w:val="24"/>
          <w:szCs w:val="24"/>
        </w:rPr>
        <w:t xml:space="preserve">eritability estimation </w:t>
      </w:r>
      <w:bookmarkEnd w:id="6"/>
      <w:bookmarkEnd w:id="7"/>
    </w:p>
    <w:p w14:paraId="31B55921" w14:textId="77777777" w:rsidR="000F2FE0" w:rsidRPr="00D13C8E" w:rsidRDefault="000F2FE0" w:rsidP="000F2FE0">
      <w:pPr>
        <w:rPr>
          <w:lang w:val="en-GB"/>
        </w:rPr>
      </w:pPr>
    </w:p>
    <w:p w14:paraId="15290B40" w14:textId="7100B842" w:rsidR="000F2FE0" w:rsidRDefault="000F2FE0" w:rsidP="000F2FE0">
      <w:pPr>
        <w:pStyle w:val="BodyText"/>
        <w:spacing w:line="480" w:lineRule="auto"/>
      </w:pPr>
      <w:r>
        <w:t>The probit link function was used to connect the observed binary phenotype (0</w:t>
      </w:r>
      <w:r w:rsidR="006C62B7">
        <w:t xml:space="preserve"> </w:t>
      </w:r>
      <w:r>
        <w:t>=</w:t>
      </w:r>
      <w:r w:rsidR="006C62B7">
        <w:t xml:space="preserve"> </w:t>
      </w:r>
      <w:r>
        <w:t>dead, 1</w:t>
      </w:r>
      <w:r w:rsidR="006C62B7">
        <w:t xml:space="preserve"> </w:t>
      </w:r>
      <w:r>
        <w:t>=</w:t>
      </w:r>
      <w:r w:rsidR="006C62B7">
        <w:t xml:space="preserve"> </w:t>
      </w:r>
      <w:r>
        <w:t>alive) with</w:t>
      </w:r>
      <w:r w:rsidR="00BB51FA">
        <w:t xml:space="preserve"> </w:t>
      </w:r>
      <w:r w:rsidR="006C62B7">
        <w:t xml:space="preserve">the </w:t>
      </w:r>
      <w:r w:rsidR="00BB51FA">
        <w:t>underlying liability scale</w:t>
      </w:r>
      <w:r>
        <w:t xml:space="preserve">. Variance components were estimated using the </w:t>
      </w:r>
      <w:r w:rsidRPr="00B30311">
        <w:t xml:space="preserve">R/BGLR </w:t>
      </w:r>
      <w:r w:rsidR="006D1A44" w:rsidRPr="00B30311">
        <w:fldChar w:fldCharType="begin" w:fldLock="1"/>
      </w:r>
      <w:r w:rsidR="00C242BD">
        <w:instrText>ADDIN CSL_CITATION { "citationItems" : [ { "id" : "ITEM-1", "itemData" : { "DOI" : "10.1534/genetics.114.164442", "ISBN" : "1943-2631 (Electronic)\r0016-6731 (Linking)", "ISSN" : "1943-2631", "PMID" : "25009151", "abstract" : "Many modern genomic data analysis require implementing regressions where the number of parameters (p, e.g., the number of marker effects) exceeds sample size (n). Implementing these large-p-with-small-n regressions poses several statistical and computational challenges, some of which can be confronted using Bayesian methods. This approach allows integrating various parametric and non-parametric shrinkage and variable selection procedures in a unified and consistent manner. The BGLR R-package implements a large collection Bayesian regression models, including parametric variable selection and shrinkage methods and semi-parametric procedures (Bayesian reproducing kernel Hilbert spaces regressions, RKHS). The software was originally developed for genomic applications; however, the methods implemented are useful for many non-genomic applications as well. The response can be continuous (censored or not) or categorical (either binary, or ordinal). The algorithm is based on a Gibbs Sampler with scalar updates and the implementation takes advantage of efficient compiled C and Fortran routines. In this article we describe the methods implemented in BGLR, present examples of the use of the package and discuss practical issues emerging in real-data analysis.", "author" : [ { "dropping-particle" : "", "family" : "P\u00e9rez", "given" : "Paulino", "non-dropping-particle" : "", "parse-names" : false, "suffix" : "" }, { "dropping-particle" : "", "family" : "Los Campos", "given" : "Gustavo", "non-dropping-particle" : "de", "parse-names" : false, "suffix" : "" } ], "container-title" : "Genetics", "id" : "ITEM-1", "issued" : { "date-parts" : [ [ "2014" ] ] }, "title" : "Genome-Wide Regression &amp; Prediction with the BGLR Statistical Package.", "type" : "article-journal" }, "uris" : [ "http://www.mendeley.com/documents/?uuid=3976eeab-14a0-4d55-a804-92ce5721cd97", "http://www.mendeley.com/documents/?uuid=07dafcd8-7b7a-4be9-9edd-98d07501f297" ] } ], "mendeley" : { "formattedCitation" : "(P\u00e9rez and de Los Campos 2014)", "plainTextFormattedCitation" : "(P\u00e9rez and de Los Campos 2014)", "previouslyFormattedCitation" : "(P\u00e9rez and de Los Campos 2014)" }, "properties" : {  }, "schema" : "https://github.com/citation-style-language/schema/raw/master/csl-citation.json" }</w:instrText>
      </w:r>
      <w:r w:rsidR="006D1A44" w:rsidRPr="00B30311">
        <w:fldChar w:fldCharType="separate"/>
      </w:r>
      <w:r w:rsidRPr="00EA7D44">
        <w:rPr>
          <w:noProof/>
        </w:rPr>
        <w:t>(Pérez and de Los Campos 2014)</w:t>
      </w:r>
      <w:r w:rsidR="006D1A44" w:rsidRPr="00B30311">
        <w:fldChar w:fldCharType="end"/>
      </w:r>
      <w:r>
        <w:t xml:space="preserve"> software with the following animal model:</w:t>
      </w:r>
    </w:p>
    <w:p w14:paraId="62A15BEE" w14:textId="77777777" w:rsidR="000F2FE0" w:rsidRPr="008A213A" w:rsidRDefault="000F2FE0" w:rsidP="000F2FE0">
      <w:pPr>
        <w:pStyle w:val="BodyText"/>
        <w:rPr>
          <w:i/>
        </w:rPr>
      </w:pPr>
      <w:r>
        <w:rPr>
          <w:b/>
          <w:lang w:val="en-US"/>
        </w:rPr>
        <w:t>l</w:t>
      </w:r>
      <w:r w:rsidRPr="00DA017A">
        <w:rPr>
          <w:b/>
        </w:rPr>
        <w:t xml:space="preserve"> </w:t>
      </w:r>
      <w:r w:rsidRPr="00750D53">
        <w:rPr>
          <w:b/>
        </w:rPr>
        <w:t>=</w:t>
      </w:r>
      <w:r>
        <w:rPr>
          <w:b/>
        </w:rPr>
        <w:t xml:space="preserve"> </w:t>
      </w:r>
      <w:r w:rsidRPr="0012356F">
        <w:rPr>
          <w:b/>
          <w:lang w:val="en-US"/>
        </w:rPr>
        <w:t>X</w:t>
      </w:r>
      <w:r w:rsidRPr="00D15A48">
        <w:rPr>
          <w:b/>
          <w:lang w:val="en-US"/>
        </w:rPr>
        <w:t>b</w:t>
      </w:r>
      <w:r>
        <w:rPr>
          <w:b/>
        </w:rPr>
        <w:t xml:space="preserve"> </w:t>
      </w:r>
      <w:r w:rsidRPr="00235882">
        <w:rPr>
          <w:b/>
          <w:lang w:val="en-US"/>
        </w:rPr>
        <w:t>+</w:t>
      </w:r>
      <w:r>
        <w:rPr>
          <w:b/>
          <w:lang w:val="en-US"/>
        </w:rPr>
        <w:t xml:space="preserve"> </w:t>
      </w:r>
      <w:r w:rsidRPr="00750D53">
        <w:rPr>
          <w:b/>
        </w:rPr>
        <w:t>Zu</w:t>
      </w:r>
      <w:r>
        <w:rPr>
          <w:b/>
        </w:rPr>
        <w:t xml:space="preserve"> </w:t>
      </w:r>
      <w:r w:rsidRPr="00750D53">
        <w:rPr>
          <w:b/>
        </w:rPr>
        <w:t>+</w:t>
      </w:r>
      <w:r>
        <w:rPr>
          <w:b/>
        </w:rPr>
        <w:t xml:space="preserve"> </w:t>
      </w:r>
      <w:r w:rsidRPr="00750D53">
        <w:rPr>
          <w:b/>
        </w:rPr>
        <w:t>e</w:t>
      </w:r>
      <w:r>
        <w:t>,</w:t>
      </w:r>
      <w:r w:rsidRPr="00ED4B0D">
        <w:rPr>
          <w:i/>
        </w:rPr>
        <w:t xml:space="preserve"> </w:t>
      </w:r>
      <w:r w:rsidRPr="0089187A">
        <w:t>(1)</w:t>
      </w:r>
      <w:r w:rsidRPr="00ED4B0D">
        <w:rPr>
          <w:i/>
        </w:rPr>
        <w:t xml:space="preserve"> </w:t>
      </w:r>
    </w:p>
    <w:p w14:paraId="6350B6D0" w14:textId="1779589C" w:rsidR="000F2FE0" w:rsidRDefault="000F2FE0" w:rsidP="000F2FE0">
      <w:pPr>
        <w:pStyle w:val="BodyText"/>
        <w:spacing w:line="480" w:lineRule="auto"/>
        <w:rPr>
          <w:lang w:val="en-US"/>
        </w:rPr>
      </w:pPr>
      <w:r>
        <w:t xml:space="preserve">where </w:t>
      </w:r>
      <w:r w:rsidRPr="00F639C5">
        <w:rPr>
          <w:b/>
          <w:lang w:val="en-US"/>
        </w:rPr>
        <w:t>l</w:t>
      </w:r>
      <w:r>
        <w:rPr>
          <w:vertAlign w:val="subscript"/>
        </w:rPr>
        <w:t xml:space="preserve"> </w:t>
      </w:r>
      <w:r w:rsidR="00BB51FA">
        <w:t>is the v</w:t>
      </w:r>
      <w:r>
        <w:t xml:space="preserve">ector of latent variables, </w:t>
      </w:r>
      <w:r w:rsidRPr="00D15A48">
        <w:rPr>
          <w:b/>
          <w:lang w:val="en-US"/>
        </w:rPr>
        <w:t>b</w:t>
      </w:r>
      <w:r w:rsidRPr="00235882">
        <w:rPr>
          <w:lang w:val="en-US"/>
        </w:rPr>
        <w:t xml:space="preserve"> </w:t>
      </w:r>
      <w:r w:rsidR="00BB51FA">
        <w:rPr>
          <w:lang w:val="en-US"/>
        </w:rPr>
        <w:t xml:space="preserve">is the </w:t>
      </w:r>
      <w:r>
        <w:rPr>
          <w:lang w:val="en-US"/>
        </w:rPr>
        <w:t xml:space="preserve">vector of the fixed effects (intercept, tank), </w:t>
      </w:r>
      <w:r w:rsidRPr="00000433">
        <w:rPr>
          <w:b/>
          <w:lang w:val="en-US"/>
        </w:rPr>
        <w:t>X</w:t>
      </w:r>
      <w:r>
        <w:rPr>
          <w:lang w:val="en-US"/>
        </w:rPr>
        <w:t xml:space="preserve"> </w:t>
      </w:r>
      <w:r w:rsidR="00BB51FA">
        <w:rPr>
          <w:lang w:val="en-US"/>
        </w:rPr>
        <w:t xml:space="preserve">is </w:t>
      </w:r>
      <w:r>
        <w:rPr>
          <w:lang w:val="en-US"/>
        </w:rPr>
        <w:t>the incidence matrix relating phenotypes with the fixed effects,</w:t>
      </w:r>
      <w:r w:rsidRPr="00750D53">
        <w:rPr>
          <w:lang w:val="en-US"/>
        </w:rPr>
        <w:t xml:space="preserve"> </w:t>
      </w:r>
      <w:r w:rsidRPr="00625F11">
        <w:rPr>
          <w:b/>
          <w:lang w:val="en-US"/>
        </w:rPr>
        <w:t>Z</w:t>
      </w:r>
      <w:r>
        <w:rPr>
          <w:lang w:val="en-US"/>
        </w:rPr>
        <w:t xml:space="preserve"> </w:t>
      </w:r>
      <w:r w:rsidR="00BB51FA">
        <w:rPr>
          <w:lang w:val="en-US"/>
        </w:rPr>
        <w:t xml:space="preserve">is </w:t>
      </w:r>
      <w:r>
        <w:rPr>
          <w:lang w:val="en-US"/>
        </w:rPr>
        <w:t>the incidence matrix relating phenotypes with the random animal effects,</w:t>
      </w:r>
      <w:r w:rsidRPr="00750D53">
        <w:rPr>
          <w:b/>
        </w:rPr>
        <w:t xml:space="preserve"> </w:t>
      </w:r>
      <w:r w:rsidRPr="003159A7">
        <w:rPr>
          <w:b/>
        </w:rPr>
        <w:t>u</w:t>
      </w:r>
      <w:r>
        <w:t xml:space="preserve"> </w:t>
      </w:r>
      <w:r w:rsidR="00BB51FA">
        <w:t xml:space="preserve">is </w:t>
      </w:r>
      <w:r w:rsidRPr="00B30311">
        <w:t xml:space="preserve">the </w:t>
      </w:r>
      <w:r>
        <w:t xml:space="preserve">vector of random </w:t>
      </w:r>
      <w:r w:rsidRPr="00B30311">
        <w:t>animal effect</w:t>
      </w:r>
      <w:r>
        <w:t>s</w:t>
      </w:r>
      <w:r w:rsidRPr="00B30311">
        <w:t xml:space="preserve"> ~</w:t>
      </w:r>
      <w:r>
        <w:rPr>
          <w:lang w:val="en-US"/>
        </w:rPr>
        <w:t xml:space="preserve"> N(0, </w:t>
      </w:r>
      <w:r w:rsidRPr="00880B3F">
        <w:rPr>
          <w:b/>
          <w:lang w:val="en-US"/>
        </w:rPr>
        <w:t>A</w:t>
      </w:r>
      <w:r>
        <w:rPr>
          <w:lang w:val="el-GR"/>
        </w:rPr>
        <w:t>σ</w:t>
      </w:r>
      <w:r w:rsidRPr="00235882">
        <w:rPr>
          <w:vertAlign w:val="subscript"/>
          <w:lang w:val="en-US"/>
        </w:rPr>
        <w:t>g</w:t>
      </w:r>
      <w:r w:rsidRPr="00235882">
        <w:rPr>
          <w:vertAlign w:val="superscript"/>
          <w:lang w:val="en-US"/>
        </w:rPr>
        <w:t>2</w:t>
      </w:r>
      <w:r w:rsidRPr="00235882">
        <w:rPr>
          <w:lang w:val="en-US"/>
        </w:rPr>
        <w:t xml:space="preserve">) </w:t>
      </w:r>
      <w:r w:rsidR="00BB51FA">
        <w:rPr>
          <w:lang w:val="en-US"/>
        </w:rPr>
        <w:t xml:space="preserve">[where </w:t>
      </w:r>
      <w:r w:rsidRPr="00625F11">
        <w:rPr>
          <w:b/>
          <w:lang w:val="en-US"/>
        </w:rPr>
        <w:t>A</w:t>
      </w:r>
      <w:r>
        <w:rPr>
          <w:lang w:val="en-US"/>
        </w:rPr>
        <w:t xml:space="preserve"> correspond</w:t>
      </w:r>
      <w:r w:rsidR="00BB51FA">
        <w:rPr>
          <w:lang w:val="en-US"/>
        </w:rPr>
        <w:t>s</w:t>
      </w:r>
      <w:r>
        <w:rPr>
          <w:lang w:val="en-US"/>
        </w:rPr>
        <w:t xml:space="preserve"> to the pedigree-based relationship matrix </w:t>
      </w:r>
      <w:r w:rsidR="00BB51FA">
        <w:rPr>
          <w:lang w:val="en-US"/>
        </w:rPr>
        <w:t xml:space="preserve">and is replaced by G for </w:t>
      </w:r>
      <w:r w:rsidR="006C62B7">
        <w:rPr>
          <w:lang w:val="en-US"/>
        </w:rPr>
        <w:t xml:space="preserve">analyses using </w:t>
      </w:r>
      <w:r w:rsidR="00BB51FA">
        <w:rPr>
          <w:lang w:val="en-US"/>
        </w:rPr>
        <w:t xml:space="preserve">the genomic relationship matrix </w:t>
      </w:r>
      <w:r w:rsidR="006D1A44">
        <w:rPr>
          <w:lang w:val="en-US"/>
        </w:rPr>
        <w:fldChar w:fldCharType="begin" w:fldLock="1"/>
      </w:r>
      <w:r w:rsidR="00C242BD">
        <w:rPr>
          <w:lang w:val="en-US"/>
        </w:rPr>
        <w:instrText>ADDIN CSL_CITATION { "citationItems" : [ { "id" : "ITEM-1", "itemData" : { "DOI" : "10.3168/jds.2007-0980", "ISBN" : "1525-3198 (Electronic)", "ISSN" : "1525-3198", "PMID" : "18946147", "abstract" : "Efficient methods for processing genomic data were developed to increase reliability of estimated breeding values and to estimate thousands of marker effects simultaneously. Algorithms were derived and computer programs tested with simulated data for 2,967 bulls and 50,000 markers distributed randomly across 30 chromosomes. Estimation of genomic inbreeding coefficients required accurate estimates of allele frequencies in the base population. Linear model predictions of breeding values were computed by 3 equivalent methods: 1) iteration for individual allele effects followed by summation across loci to obtain estimated breeding values, 2) selection index including a genomic relationship matrix, and 3) mixed model equations including the inverse of genomic relationships. A blend of first- and second-order Jacobi iteration using 2 separate relaxation factors converged well for allele frequencies and effects. Reliability of predicted net merit for young bulls was 63% compared with 32% using the traditional relationship matrix. Nonlinear predictions were also computed using iteration on data and nonlinear regression on marker deviations; an additional (about 3%) gain in reliability for young bulls increased average reliability to 66%. Computing times increased linearly with number of genotypes. Estimation of allele frequencies required 2 processor days, and genomic predictions required &lt;1 d per trait, and traits were processed in parallel. Information from genotyping was equivalent to about 20 daughters with phenotypic records. Actual gains may differ because the simulation did not account for linkage disequilibrium in the base population or selection in subsequent generations.", "author" : [ { "dropping-particle" : "", "family" : "VanRaden", "given" : "P M", "non-dropping-particle" : "", "parse-names" : false, "suffix" : "" } ], "container-title" : "Journal of dairy science", "id" : "ITEM-1", "issue" : "11", "issued" : { "date-parts" : [ [ "2008" ] ] }, "page" : "4414-23", "title" : "Efficient methods to compute genomic predictions.", "type" : "article-journal", "volume" : "91" }, "uris" : [ "http://www.mendeley.com/documents/?uuid=81658835-a77a-45a7-8a91-13223479a445", "http://www.mendeley.com/documents/?uuid=114fbeae-511b-414e-849e-a1f8a1e3ab0a" ] } ], "mendeley" : { "formattedCitation" : "(VanRaden 2008)", "plainTextFormattedCitation" : "(VanRaden 2008)", "previouslyFormattedCitation" : "(VanRaden 2008)" }, "properties" : {  }, "schema" : "https://github.com/citation-style-language/schema/raw/master/csl-citation.json" }</w:instrText>
      </w:r>
      <w:r w:rsidR="006D1A44">
        <w:rPr>
          <w:lang w:val="en-US"/>
        </w:rPr>
        <w:fldChar w:fldCharType="separate"/>
      </w:r>
      <w:r w:rsidRPr="00FB1078">
        <w:rPr>
          <w:noProof/>
          <w:lang w:val="en-US"/>
        </w:rPr>
        <w:t>(VanRaden 2008)</w:t>
      </w:r>
      <w:r w:rsidR="006D1A44">
        <w:rPr>
          <w:lang w:val="en-US"/>
        </w:rPr>
        <w:fldChar w:fldCharType="end"/>
      </w:r>
      <w:r w:rsidR="00BB51FA">
        <w:rPr>
          <w:lang w:val="en-US"/>
        </w:rPr>
        <w:t xml:space="preserve"> and </w:t>
      </w:r>
      <w:r>
        <w:rPr>
          <w:lang w:val="el-GR"/>
        </w:rPr>
        <w:t>σ</w:t>
      </w:r>
      <w:r w:rsidRPr="00235882">
        <w:rPr>
          <w:vertAlign w:val="subscript"/>
          <w:lang w:val="en-US"/>
        </w:rPr>
        <w:t>g</w:t>
      </w:r>
      <w:r w:rsidRPr="00235882">
        <w:rPr>
          <w:vertAlign w:val="superscript"/>
          <w:lang w:val="en-US"/>
        </w:rPr>
        <w:t xml:space="preserve">2 </w:t>
      </w:r>
      <w:r w:rsidR="00BB51FA">
        <w:rPr>
          <w:lang w:val="en-US"/>
        </w:rPr>
        <w:t>is t</w:t>
      </w:r>
      <w:r>
        <w:rPr>
          <w:lang w:val="en-US"/>
        </w:rPr>
        <w:t>he additive genetic variance</w:t>
      </w:r>
      <w:r w:rsidR="00BB51FA">
        <w:rPr>
          <w:lang w:val="en-US"/>
        </w:rPr>
        <w:t>]</w:t>
      </w:r>
      <w:r>
        <w:rPr>
          <w:lang w:val="en-US"/>
        </w:rPr>
        <w:t>,</w:t>
      </w:r>
      <w:r>
        <w:t xml:space="preserve"> </w:t>
      </w:r>
      <w:r w:rsidRPr="00235882">
        <w:rPr>
          <w:b/>
          <w:lang w:val="en-US"/>
        </w:rPr>
        <w:t>e</w:t>
      </w:r>
      <w:r w:rsidRPr="00235882">
        <w:rPr>
          <w:lang w:val="en-US"/>
        </w:rPr>
        <w:t xml:space="preserve"> </w:t>
      </w:r>
      <w:r>
        <w:t xml:space="preserve">the </w:t>
      </w:r>
      <w:r w:rsidRPr="00235882">
        <w:rPr>
          <w:lang w:val="en-US"/>
        </w:rPr>
        <w:t>vector of residuals</w:t>
      </w:r>
      <w:r>
        <w:rPr>
          <w:lang w:val="en-US"/>
        </w:rPr>
        <w:t xml:space="preserve"> ~N(0, </w:t>
      </w:r>
      <w:r w:rsidRPr="00735434">
        <w:rPr>
          <w:b/>
          <w:lang w:val="en-US"/>
        </w:rPr>
        <w:t>I</w:t>
      </w:r>
      <m:oMath>
        <m:sSubSup>
          <m:sSubSupPr>
            <m:ctrlPr>
              <w:rPr>
                <w:rFonts w:ascii="Cambria Math" w:hAnsi="Cambria Math"/>
                <w:lang w:val="el-GR"/>
              </w:rPr>
            </m:ctrlPr>
          </m:sSubSupPr>
          <m:e>
            <m:r>
              <m:rPr>
                <m:sty m:val="p"/>
              </m:rPr>
              <w:rPr>
                <w:rFonts w:ascii="Cambria Math" w:hAnsi="Cambria Math"/>
                <w:lang w:val="el-GR"/>
              </w:rPr>
              <m:t>σ</m:t>
            </m:r>
          </m:e>
          <m:sub>
            <m:r>
              <m:rPr>
                <m:sty m:val="p"/>
              </m:rPr>
              <w:rPr>
                <w:rFonts w:ascii="Cambria Math" w:hAnsi="Cambria Math"/>
                <w:lang w:val="en-US"/>
              </w:rPr>
              <m:t>e</m:t>
            </m:r>
          </m:sub>
          <m:sup>
            <m:r>
              <m:rPr>
                <m:sty m:val="p"/>
              </m:rPr>
              <w:rPr>
                <w:rFonts w:ascii="Cambria Math" w:hAnsi="Cambria Math"/>
                <w:lang w:val="en-US"/>
              </w:rPr>
              <m:t>2</m:t>
            </m:r>
          </m:sup>
        </m:sSubSup>
      </m:oMath>
      <w:r>
        <w:rPr>
          <w:lang w:val="en-US"/>
        </w:rPr>
        <w:t xml:space="preserve">) </w:t>
      </w:r>
      <w:r w:rsidR="00BB51FA">
        <w:rPr>
          <w:lang w:val="en-US"/>
        </w:rPr>
        <w:t>where</w:t>
      </w:r>
      <w:r>
        <w:rPr>
          <w:lang w:val="en-US"/>
        </w:rPr>
        <w:t xml:space="preserve"> </w:t>
      </w:r>
      <m:oMath>
        <m:sSubSup>
          <m:sSubSupPr>
            <m:ctrlPr>
              <w:rPr>
                <w:rFonts w:ascii="Cambria Math" w:hAnsi="Cambria Math"/>
                <w:i/>
                <w:lang w:val="el-GR"/>
              </w:rPr>
            </m:ctrlPr>
          </m:sSubSupPr>
          <m:e>
            <m:r>
              <w:rPr>
                <w:rFonts w:ascii="Cambria Math" w:hAnsi="Cambria Math"/>
                <w:lang w:val="el-GR"/>
              </w:rPr>
              <m:t>σ</m:t>
            </m:r>
          </m:e>
          <m:sub>
            <m:r>
              <w:rPr>
                <w:rFonts w:ascii="Cambria Math" w:hAnsi="Cambria Math"/>
                <w:lang w:val="el-GR"/>
              </w:rPr>
              <m:t>e</m:t>
            </m:r>
          </m:sub>
          <m:sup>
            <m:r>
              <w:rPr>
                <w:rFonts w:ascii="Cambria Math" w:hAnsi="Cambria Math"/>
                <w:lang w:val="en-US"/>
              </w:rPr>
              <m:t>2</m:t>
            </m:r>
          </m:sup>
        </m:sSubSup>
      </m:oMath>
      <w:r>
        <w:t xml:space="preserve"> </w:t>
      </w:r>
      <w:r w:rsidR="00BB51FA">
        <w:rPr>
          <w:lang w:val="en-US"/>
        </w:rPr>
        <w:t>is t</w:t>
      </w:r>
      <w:r w:rsidRPr="00D62B6E">
        <w:rPr>
          <w:lang w:val="en-US"/>
        </w:rPr>
        <w:t>he residual variance</w:t>
      </w:r>
      <w:r>
        <w:rPr>
          <w:lang w:val="en-US"/>
        </w:rPr>
        <w:t>.</w:t>
      </w:r>
    </w:p>
    <w:p w14:paraId="2A824558" w14:textId="111806BD" w:rsidR="000F2FE0" w:rsidRPr="00D62B6E" w:rsidRDefault="000F2FE0" w:rsidP="000F2FE0">
      <w:pPr>
        <w:pStyle w:val="BodyText"/>
        <w:spacing w:line="480" w:lineRule="auto"/>
        <w:rPr>
          <w:lang w:val="en-US"/>
        </w:rPr>
      </w:pPr>
      <w:r>
        <w:lastRenderedPageBreak/>
        <w:t xml:space="preserve">The parameters of </w:t>
      </w:r>
      <w:r w:rsidR="00BB51FA">
        <w:t xml:space="preserve">this model </w:t>
      </w:r>
      <w:r>
        <w:t xml:space="preserve">were estimated through </w:t>
      </w:r>
      <w:r w:rsidR="005E7480" w:rsidRPr="005E7480">
        <w:t>Markov chain Monte Carlo</w:t>
      </w:r>
      <w:r w:rsidR="005E7480">
        <w:t xml:space="preserve"> (</w:t>
      </w:r>
      <w:r>
        <w:t>MCMC</w:t>
      </w:r>
      <w:r w:rsidR="005E7480">
        <w:t>)</w:t>
      </w:r>
      <w:r>
        <w:t xml:space="preserve"> using Gibbs sampling (11</w:t>
      </w:r>
      <w:r w:rsidR="006C62B7">
        <w:t xml:space="preserve"> </w:t>
      </w:r>
      <w:r>
        <w:t>M</w:t>
      </w:r>
      <w:r w:rsidRPr="00611076">
        <w:t xml:space="preserve"> iterations</w:t>
      </w:r>
      <w:r>
        <w:t>;</w:t>
      </w:r>
      <w:r w:rsidRPr="00611076">
        <w:t xml:space="preserve"> burn-in</w:t>
      </w:r>
      <w:r>
        <w:t>: 1</w:t>
      </w:r>
      <w:r w:rsidR="006C62B7">
        <w:t xml:space="preserve"> </w:t>
      </w:r>
      <w:r>
        <w:t>M; thin: 1</w:t>
      </w:r>
      <w:r w:rsidR="006C62B7">
        <w:t>,</w:t>
      </w:r>
      <w:r>
        <w:t>000)</w:t>
      </w:r>
      <w:r w:rsidRPr="00611076">
        <w:t>. Convergence of the result</w:t>
      </w:r>
      <w:r>
        <w:t>ing</w:t>
      </w:r>
      <w:r w:rsidRPr="00611076">
        <w:t xml:space="preserve"> posterior distributions</w:t>
      </w:r>
      <w:r>
        <w:t xml:space="preserve"> was assessed both visually (inspecting the resulting MCMC plots) and analytically using R/coda</w:t>
      </w:r>
      <w:r w:rsidRPr="00611076">
        <w:t xml:space="preserve"> v</w:t>
      </w:r>
      <w:r>
        <w:t xml:space="preserve">0.19-1 </w:t>
      </w:r>
      <w:r w:rsidR="006D1A44">
        <w:fldChar w:fldCharType="begin" w:fldLock="1"/>
      </w:r>
      <w:r w:rsidR="00C242BD">
        <w:instrText>ADDIN CSL_CITATION { "citationItems" : [ { "id" : "ITEM-1", "itemData" : { "DOI" : "10.1159/000323281", "ISBN" : "1609-3631", "ISSN" : "1662-4025", "PMID" : "21196786", "abstract" : "[1st paragraph] At first sight, Bayesian inference with Markov Chain Monte Carlo (MCMC) appears to be straightforward. The user defines a full probability model, perhaps using one of the programs discussed in this issue; an underlying sampling engine takes the model definition and returns a sequence of dependent samples from the posterior distribution of the model parameters, given the supplied data. The user can derive any summary of the posterior distribution from this sample. For example, to calculate a 95% credible interval for a parameter \u03b1, it suffices to take 1000 MCMC iterations of \u03b1 and sort them so that \u03b1121000. The credible interval estimate is then (\u03b125, \u03b1975). However, there is a price to be paid for this simplicity. Unlike most numerical methods used in statistical inference, MCMC does not give a clear indication of whether it has converged. The underlying Markov chain theory only guarantees that the distribution of the output will converge to the posterior in the limit as the number of iterations increases to infinity. The user is generally ignorant about how quickly convergence occurs, and therefore has to fall back on post hoc testing of the sampled output. By convention, the sample is divided into two parts: a \u201cburn in\u201d period during which all samples are discarded, and the remainder of the run in which the chain is considered to have converged sufficiently close to the limiting distribution to be used. Two questions then arise: 1. How long should the burn in period be? 2. How many samples are required to accurately estimate posterior quantities of interest? The coda package for R contains a set of functions designed to help the user answer these questions. Some of these convergence diagnostics are simple graphical ways of summarizing the data. Others are formal statistical tests.", "author" : [ { "dropping-particle" : "", "family" : "Plummer", "given" : "Martyn", "non-dropping-particle" : "", "parse-names" : false, "suffix" : "" }, { "dropping-particle" : "", "family" : "Best", "given" : "Nicky", "non-dropping-particle" : "", "parse-names" : false, "suffix" : "" }, { "dropping-particle" : "", "family" : "Cowles", "given" : "Kate", "non-dropping-particle" : "", "parse-names" : false, "suffix" : "" }, { "dropping-particle" : "", "family" : "Vines", "given" : "Karen", "non-dropping-particle" : "", "parse-names" : false, "suffix" : "" } ], "container-title" : "R News", "id" : "ITEM-1", "issue" : "1", "issued" : { "date-parts" : [ [ "2006" ] ] }, "page" : "7-11", "title" : "CODA: convergence diagnosis and output analysis for MCMC", "type" : "article-journal", "volume" : "6" }, "uris" : [ "http://www.mendeley.com/documents/?uuid=a3997b8e-3b56-4078-8238-3cd87ba932a1", "http://www.mendeley.com/documents/?uuid=8e41cf4a-5e39-4f0e-92f9-945e739df501" ] } ], "mendeley" : { "formattedCitation" : "(Plummer &lt;i&gt;et al.&lt;/i&gt; 2006)", "plainTextFormattedCitation" : "(Plummer et al. 2006)", "previouslyFormattedCitation" : "(Plummer &lt;i&gt;et al.&lt;/i&gt; 2006)" }, "properties" : {  }, "schema" : "https://github.com/citation-style-language/schema/raw/master/csl-citation.json" }</w:instrText>
      </w:r>
      <w:r w:rsidR="006D1A44">
        <w:fldChar w:fldCharType="separate"/>
      </w:r>
      <w:r w:rsidRPr="00202A4F">
        <w:rPr>
          <w:noProof/>
        </w:rPr>
        <w:t xml:space="preserve">(Plummer </w:t>
      </w:r>
      <w:r w:rsidRPr="00202A4F">
        <w:rPr>
          <w:i/>
          <w:noProof/>
        </w:rPr>
        <w:t>et al.</w:t>
      </w:r>
      <w:r w:rsidRPr="00202A4F">
        <w:rPr>
          <w:noProof/>
        </w:rPr>
        <w:t xml:space="preserve"> 2006)</w:t>
      </w:r>
      <w:r w:rsidR="006D1A44">
        <w:fldChar w:fldCharType="end"/>
      </w:r>
      <w:r>
        <w:t>.</w:t>
      </w:r>
      <w:r>
        <w:rPr>
          <w:lang w:val="en-US"/>
        </w:rPr>
        <w:t xml:space="preserve"> </w:t>
      </w:r>
      <w:r w:rsidRPr="00D62B6E">
        <w:rPr>
          <w:lang w:val="en-US"/>
        </w:rPr>
        <w:t xml:space="preserve">Heritability </w:t>
      </w:r>
      <w:r>
        <w:t xml:space="preserve">for </w:t>
      </w:r>
      <w:r w:rsidR="00BB51FA">
        <w:t xml:space="preserve">the trait of </w:t>
      </w:r>
      <w:r>
        <w:t xml:space="preserve">survival </w:t>
      </w:r>
      <w:r w:rsidR="00BB51FA">
        <w:t xml:space="preserve">during the KHV challenge </w:t>
      </w:r>
      <w:r w:rsidR="005E7480">
        <w:t>(</w:t>
      </w:r>
      <w:r>
        <w:t xml:space="preserve">on the underlying </w:t>
      </w:r>
      <w:r w:rsidR="005E7480">
        <w:t xml:space="preserve">liability </w:t>
      </w:r>
      <w:r>
        <w:t>scale</w:t>
      </w:r>
      <w:r w:rsidR="005E7480">
        <w:t>)</w:t>
      </w:r>
      <w:r>
        <w:t xml:space="preserve"> </w:t>
      </w:r>
      <w:r w:rsidRPr="00D62B6E">
        <w:rPr>
          <w:lang w:val="en-US"/>
        </w:rPr>
        <w:t>was estimated using the following formula:</w:t>
      </w:r>
    </w:p>
    <w:p w14:paraId="62AB1D81" w14:textId="77777777" w:rsidR="000F2FE0" w:rsidRPr="00920EB1" w:rsidRDefault="000F2FE0" w:rsidP="000F2FE0">
      <w:pPr>
        <w:pStyle w:val="Heading3"/>
        <w:rPr>
          <w:rFonts w:ascii="Times New Roman" w:hAnsi="Times New Roman"/>
          <w:bCs/>
          <w:color w:val="auto"/>
        </w:rPr>
      </w:pPr>
      <w:r>
        <w:rPr>
          <w:rFonts w:ascii="Times New Roman" w:hAnsi="Times New Roman"/>
          <w:color w:val="auto"/>
          <w:lang w:val="en-US"/>
        </w:rPr>
        <w:t>h</w:t>
      </w:r>
      <w:r>
        <w:rPr>
          <w:rFonts w:ascii="Times New Roman" w:hAnsi="Times New Roman"/>
          <w:color w:val="auto"/>
          <w:vertAlign w:val="superscript"/>
          <w:lang w:val="en-US"/>
        </w:rPr>
        <w:t>2</w:t>
      </w:r>
      <w:r>
        <w:rPr>
          <w:rFonts w:ascii="Times New Roman" w:hAnsi="Times New Roman"/>
          <w:color w:val="auto"/>
          <w:lang w:val="en-US"/>
        </w:rPr>
        <w:t xml:space="preserve"> </w:t>
      </w:r>
      <w:r w:rsidRPr="00920EB1">
        <w:rPr>
          <w:rFonts w:ascii="Times New Roman" w:hAnsi="Times New Roman"/>
          <w:color w:val="auto"/>
          <w:lang w:val="en-US"/>
        </w:rPr>
        <w:t xml:space="preserve">= </w:t>
      </w:r>
      <m:oMath>
        <m:r>
          <w:rPr>
            <w:rFonts w:ascii="Cambria Math" w:hAnsi="Cambria Math"/>
            <w:color w:val="auto"/>
            <w:lang w:val="en-US"/>
          </w:rPr>
          <m:t xml:space="preserve"> </m:t>
        </m:r>
        <m:f>
          <m:fPr>
            <m:ctrlPr>
              <w:rPr>
                <w:rFonts w:ascii="Cambria Math" w:hAnsi="Cambria Math"/>
                <w:color w:val="auto"/>
                <w:lang w:val="el-GR"/>
              </w:rPr>
            </m:ctrlPr>
          </m:fPr>
          <m:num>
            <m:sSubSup>
              <m:sSubSupPr>
                <m:ctrlPr>
                  <w:rPr>
                    <w:rFonts w:ascii="Cambria Math" w:hAnsi="Cambria Math"/>
                    <w:color w:val="auto"/>
                    <w:lang w:val="el-GR"/>
                  </w:rPr>
                </m:ctrlPr>
              </m:sSubSupPr>
              <m:e>
                <m:r>
                  <m:rPr>
                    <m:sty m:val="p"/>
                  </m:rPr>
                  <w:rPr>
                    <w:rFonts w:ascii="Cambria Math" w:hAnsi="Cambria Math"/>
                    <w:color w:val="auto"/>
                    <w:lang w:val="el-GR"/>
                  </w:rPr>
                  <m:t>σ</m:t>
                </m:r>
              </m:e>
              <m:sub>
                <m:r>
                  <m:rPr>
                    <m:sty m:val="p"/>
                  </m:rPr>
                  <w:rPr>
                    <w:rFonts w:ascii="Cambria Math" w:hAnsi="Cambria Math"/>
                    <w:color w:val="auto"/>
                    <w:lang w:val="en-US"/>
                  </w:rPr>
                  <m:t>g</m:t>
                </m:r>
              </m:sub>
              <m:sup>
                <m:r>
                  <m:rPr>
                    <m:sty m:val="p"/>
                  </m:rPr>
                  <w:rPr>
                    <w:rFonts w:ascii="Cambria Math" w:hAnsi="Cambria Math"/>
                    <w:color w:val="auto"/>
                    <w:lang w:val="en-US"/>
                  </w:rPr>
                  <m:t>2</m:t>
                </m:r>
              </m:sup>
            </m:sSubSup>
          </m:num>
          <m:den>
            <m:sSubSup>
              <m:sSubSupPr>
                <m:ctrlPr>
                  <w:rPr>
                    <w:rFonts w:ascii="Cambria Math" w:hAnsi="Cambria Math"/>
                    <w:color w:val="auto"/>
                    <w:lang w:val="el-GR"/>
                  </w:rPr>
                </m:ctrlPr>
              </m:sSubSupPr>
              <m:e>
                <m:r>
                  <m:rPr>
                    <m:sty m:val="p"/>
                  </m:rPr>
                  <w:rPr>
                    <w:rFonts w:ascii="Cambria Math" w:hAnsi="Cambria Math"/>
                    <w:color w:val="auto"/>
                    <w:lang w:val="el-GR"/>
                  </w:rPr>
                  <m:t>σ</m:t>
                </m:r>
              </m:e>
              <m:sub>
                <m:r>
                  <m:rPr>
                    <m:sty m:val="p"/>
                  </m:rPr>
                  <w:rPr>
                    <w:rFonts w:ascii="Cambria Math" w:hAnsi="Cambria Math"/>
                    <w:color w:val="auto"/>
                    <w:lang w:val="en-US"/>
                  </w:rPr>
                  <m:t>g</m:t>
                </m:r>
              </m:sub>
              <m:sup>
                <m:r>
                  <m:rPr>
                    <m:sty m:val="p"/>
                  </m:rPr>
                  <w:rPr>
                    <w:rFonts w:ascii="Cambria Math" w:hAnsi="Cambria Math"/>
                    <w:color w:val="auto"/>
                    <w:lang w:val="en-US"/>
                  </w:rPr>
                  <m:t>2</m:t>
                </m:r>
              </m:sup>
            </m:sSubSup>
            <m:r>
              <m:rPr>
                <m:sty m:val="p"/>
              </m:rPr>
              <w:rPr>
                <w:rFonts w:ascii="Cambria Math" w:hAnsi="Cambria Math"/>
                <w:color w:val="auto"/>
                <w:lang w:val="en-US"/>
              </w:rPr>
              <m:t>+</m:t>
            </m:r>
            <m:sSubSup>
              <m:sSubSupPr>
                <m:ctrlPr>
                  <w:rPr>
                    <w:rFonts w:ascii="Cambria Math" w:hAnsi="Cambria Math"/>
                    <w:color w:val="auto"/>
                    <w:lang w:val="el-GR"/>
                  </w:rPr>
                </m:ctrlPr>
              </m:sSubSupPr>
              <m:e>
                <m:r>
                  <m:rPr>
                    <m:sty m:val="p"/>
                  </m:rPr>
                  <w:rPr>
                    <w:rFonts w:ascii="Cambria Math" w:hAnsi="Cambria Math"/>
                    <w:color w:val="auto"/>
                    <w:lang w:val="el-GR"/>
                  </w:rPr>
                  <m:t>σ</m:t>
                </m:r>
              </m:e>
              <m:sub>
                <m:r>
                  <m:rPr>
                    <m:sty m:val="p"/>
                  </m:rPr>
                  <w:rPr>
                    <w:rFonts w:ascii="Cambria Math" w:hAnsi="Cambria Math"/>
                    <w:color w:val="auto"/>
                    <w:lang w:val="en-US"/>
                  </w:rPr>
                  <m:t>e</m:t>
                </m:r>
              </m:sub>
              <m:sup>
                <m:r>
                  <m:rPr>
                    <m:sty m:val="p"/>
                  </m:rPr>
                  <w:rPr>
                    <w:rFonts w:ascii="Cambria Math" w:hAnsi="Cambria Math"/>
                    <w:color w:val="auto"/>
                    <w:lang w:val="en-US"/>
                  </w:rPr>
                  <m:t>2</m:t>
                </m:r>
              </m:sup>
            </m:sSubSup>
          </m:den>
        </m:f>
        <m:r>
          <m:rPr>
            <m:sty m:val="p"/>
          </m:rPr>
          <w:rPr>
            <w:rFonts w:ascii="Cambria Math" w:hAnsi="Cambria Math"/>
            <w:color w:val="auto"/>
            <w:lang w:val="en-US"/>
          </w:rPr>
          <m:t xml:space="preserve"> </m:t>
        </m:r>
      </m:oMath>
      <w:r w:rsidRPr="00920EB1">
        <w:rPr>
          <w:rFonts w:ascii="Times New Roman" w:hAnsi="Times New Roman"/>
          <w:color w:val="auto"/>
          <w:lang w:val="en-US"/>
        </w:rPr>
        <w:t xml:space="preserve"> </w:t>
      </w:r>
    </w:p>
    <w:p w14:paraId="5997C437" w14:textId="77777777" w:rsidR="000F2FE0" w:rsidRPr="00615093" w:rsidRDefault="000F2FE0" w:rsidP="000F2FE0"/>
    <w:p w14:paraId="2E4F5077" w14:textId="77777777" w:rsidR="000F2FE0" w:rsidRPr="0046530D" w:rsidRDefault="000F2FE0" w:rsidP="000F2FE0">
      <w:pPr>
        <w:pStyle w:val="BodyText"/>
        <w:spacing w:line="480" w:lineRule="auto"/>
        <w:rPr>
          <w:lang w:val="en-US"/>
        </w:rPr>
      </w:pPr>
      <w:r w:rsidRPr="00D62B6E">
        <w:rPr>
          <w:lang w:val="en-US"/>
        </w:rPr>
        <w:t xml:space="preserve">where </w:t>
      </w:r>
      <m:oMath>
        <m:sSubSup>
          <m:sSubSupPr>
            <m:ctrlPr>
              <w:rPr>
                <w:rFonts w:ascii="Cambria Math" w:hAnsi="Cambria Math"/>
                <w:lang w:val="el-GR"/>
              </w:rPr>
            </m:ctrlPr>
          </m:sSubSupPr>
          <m:e>
            <m:r>
              <w:rPr>
                <w:rFonts w:ascii="Cambria Math" w:hAnsi="Cambria Math"/>
                <w:lang w:val="el-GR"/>
              </w:rPr>
              <m:t>σ</m:t>
            </m:r>
          </m:e>
          <m:sub>
            <m:r>
              <w:rPr>
                <w:rFonts w:ascii="Cambria Math" w:hAnsi="Cambria Math"/>
                <w:lang w:val="en-US"/>
              </w:rPr>
              <m:t>g</m:t>
            </m:r>
          </m:sub>
          <m:sup>
            <m:r>
              <w:rPr>
                <w:rFonts w:ascii="Cambria Math" w:hAnsi="Cambria Math"/>
                <w:lang w:val="en-US"/>
              </w:rPr>
              <m:t>2</m:t>
            </m:r>
          </m:sup>
        </m:sSubSup>
      </m:oMath>
      <w:r w:rsidRPr="00D62B6E">
        <w:rPr>
          <w:lang w:val="en-US"/>
        </w:rPr>
        <w:t xml:space="preserve"> </w:t>
      </w:r>
      <w:r>
        <w:t xml:space="preserve"> is </w:t>
      </w:r>
      <w:r w:rsidRPr="00D62B6E">
        <w:rPr>
          <w:lang w:val="en-US"/>
        </w:rPr>
        <w:t xml:space="preserve">the previous estimated additive genetic variance and </w:t>
      </w:r>
      <m:oMath>
        <m:sSubSup>
          <m:sSubSupPr>
            <m:ctrlPr>
              <w:rPr>
                <w:rFonts w:ascii="Cambria Math" w:hAnsi="Cambria Math"/>
                <w:i/>
                <w:lang w:val="el-GR"/>
              </w:rPr>
            </m:ctrlPr>
          </m:sSubSupPr>
          <m:e>
            <m:r>
              <w:rPr>
                <w:rFonts w:ascii="Cambria Math" w:hAnsi="Cambria Math"/>
                <w:lang w:val="el-GR"/>
              </w:rPr>
              <m:t>σ</m:t>
            </m:r>
          </m:e>
          <m:sub>
            <m:r>
              <w:rPr>
                <w:rFonts w:ascii="Cambria Math" w:hAnsi="Cambria Math"/>
                <w:lang w:val="el-GR"/>
              </w:rPr>
              <m:t>e</m:t>
            </m:r>
          </m:sub>
          <m:sup>
            <m:r>
              <w:rPr>
                <w:rFonts w:ascii="Cambria Math" w:hAnsi="Cambria Math"/>
                <w:lang w:val="en-US"/>
              </w:rPr>
              <m:t>2</m:t>
            </m:r>
          </m:sup>
        </m:sSubSup>
      </m:oMath>
      <w:r>
        <w:t xml:space="preserve"> </w:t>
      </w:r>
      <w:r>
        <w:rPr>
          <w:lang w:val="en-US"/>
        </w:rPr>
        <w:t xml:space="preserve">the residual variance. </w:t>
      </w:r>
      <w:r w:rsidR="007621CA" w:rsidRPr="007621CA">
        <w:rPr>
          <w:lang w:val="en-US"/>
        </w:rPr>
        <w:t xml:space="preserve">Residual variance on the underlying scale is not identifiable in threshold models </w:t>
      </w:r>
      <w:r w:rsidR="006D1A44">
        <w:rPr>
          <w:lang w:val="en-US"/>
        </w:rPr>
        <w:fldChar w:fldCharType="begin" w:fldLock="1"/>
      </w:r>
      <w:r w:rsidR="007621CA">
        <w:rPr>
          <w:lang w:val="en-US"/>
        </w:rPr>
        <w:instrText>ADDIN CSL_CITATION { "citationItems" : [ { "id" : "ITEM-1", "itemData" : { "DOI" : "10.1207/S15328031US0104_02", "ISSN" : "1534-844X", "abstract" : "In multilevel modeling the residual variation in a response variable is split into component parts that are attributed to various levels. In applied work, much use is made of the percentage of variation that is attributable to the higher level sources of variation. Such a measure, however, makes sense only in simple variance components, Normal response, models where it is often referred to as the intra-unit correlation. In this article we describe how similar measures can be found for both more complex random variation in Normal response models and models with discrete responses. In these cases the variance partitions are dependent on predictors associated with the individual observation. We compare several computational techniques to compute the variance partitions.", "author" : [ { "dropping-particle" : "", "family" : "Goldstein", "given" : "Harvey", "non-dropping-particle" : "", "parse-names" : false, "suffix" : "" }, { "dropping-particle" : "", "family" : "Browne", "given" : "William", "non-dropping-particle" : "", "parse-names" : false, "suffix" : "" }, { "dropping-particle" : "", "family" : "Rasbash", "given" : "Jon", "non-dropping-particle" : "", "parse-names" : false, "suffix" : "" } ], "container-title" : "Understanding Statistics", "id" : "ITEM-1", "issue" : "4", "issued" : { "date-parts" : [ [ "2002", "12" ] ] }, "page" : "223-231", "publisher" : " Lawrence Erlbaum Associates, Inc. ", "title" : "Partitioning Variation in Multilevel Models", "type" : "article-journal", "volume" : "1" }, "uris" : [ "http://www.mendeley.com/documents/?uuid=14b5f6cf-06a7-345f-a422-c7219202d49a", "http://www.mendeley.com/documents/?uuid=29d57417-b160-4131-8d9a-9caa38c97622" ] }, { "id" : "ITEM-2", "itemData" : { "DOI" : "10.1111/j.2041-210x.2012.00261.x", "ISBN" : "2041-210X", "ISSN" : "2041210X", "PMID" : "11165473", "abstract" : "* The use of both linear and generalized linear mixed-effects models (LMMs and GLMMs) has become popular not only in social and medical sciences, but also in biological sciences, especially in the field of ecology and evolution. Information criteria, such as Akaike Information Criterion (AIC), are usually presented as model comparison tools for mixed-effects models. * The presentation of \u2018variance explained\u2019 (R2) as a relevant summarizing statistic of mixed-effects models, however, is rare, even though R2 is routinely reported for linear models (LMs) and also generalized linear models (GLMs). R2 has the extremely useful property of providing an absolute value for the goodness-of-fit of a model, which cannot be given by the information criteria. As a summary statistic that describes the amount of variance explained, R2 can also be a quantity of biological interest. * One reason for the under-appreciation of R2 for mixed-effects models lies in the fact that R2 can be defined in a number of ways. Furthermore, most definitions of R2 for mixed-effects have theoretical problems (e.g. decreased or negative R2 values in larger models) and/or their use is hindered by practical difficulties (e.g. implementation). * Here, we make a case for the importance of reporting R2 for mixed-effects models. We first provide the common definitions of R2 for LMs and GLMs and discuss the key problems associated with calculating R2 for mixed-effects models. We then recommend a general and simple method for calculating two types of R2 (marginal and conditional R2) for both LMMs and GLMMs, which are less susceptible to common problems. * This method is illustrated by examples and can be widely employed by researchers in any fields of research, regardless of software packages used for fitting mixed-effects models. The proposed method has the potential to facilitate the presentation of R2 for a wide range of circumstances.", "author" : [ { "dropping-particle" : "", "family" : "Nakagawa", "given" : "Shinichi", "non-dropping-particle" : "", "parse-names" : false, "suffix" : "" }, { "dropping-particle" : "", "family" : "Schielzeth", "given" : "Holger", "non-dropping-particle" : "", "parse-names" : false, "suffix" : "" } ], "container-title" : "Methods in Ecology and Evolution", "id" : "ITEM-2", "issue" : "2", "issued" : { "date-parts" : [ [ "2013" ] ] }, "page" : "133-42", "title" : "A general and simple method for obtaining R 2 from generalized linear mixed-effects models", "type" : "article-journal", "volume" : "4" }, "uris" : [ "http://www.mendeley.com/documents/?uuid=c6f80d31-359b-4c68-98f3-6bb4deedc6f4", "http://www.mendeley.com/documents/?uuid=68b9f408-1e37-4333-b439-cd7020ab10b6" ] } ], "mendeley" : { "formattedCitation" : "(Goldstein &lt;i&gt;et al.&lt;/i&gt; 2002; Nakagawa and Schielzeth 2013)", "plainTextFormattedCitation" : "(Goldstein et al. 2002; Nakagawa and Schielzeth 2013)", "previouslyFormattedCitation" : "(Goldstein &lt;i&gt;et al.&lt;/i&gt; 2002; Nakagawa and Schielzeth 2013)" }, "properties" : {  }, "schema" : "https://github.com/citation-style-language/schema/raw/master/csl-citation.json" }</w:instrText>
      </w:r>
      <w:r w:rsidR="006D1A44">
        <w:rPr>
          <w:lang w:val="en-US"/>
        </w:rPr>
        <w:fldChar w:fldCharType="separate"/>
      </w:r>
      <w:r w:rsidR="007621CA" w:rsidRPr="000078DE">
        <w:rPr>
          <w:noProof/>
          <w:lang w:val="en-US"/>
        </w:rPr>
        <w:t xml:space="preserve">(Goldstein </w:t>
      </w:r>
      <w:r w:rsidR="007621CA" w:rsidRPr="000078DE">
        <w:rPr>
          <w:i/>
          <w:noProof/>
          <w:lang w:val="en-US"/>
        </w:rPr>
        <w:t>et al.</w:t>
      </w:r>
      <w:r w:rsidR="007621CA" w:rsidRPr="000078DE">
        <w:rPr>
          <w:noProof/>
          <w:lang w:val="en-US"/>
        </w:rPr>
        <w:t xml:space="preserve"> 2002; Nakagawa and Schielzeth 2013)</w:t>
      </w:r>
      <w:r w:rsidR="006D1A44">
        <w:rPr>
          <w:lang w:val="en-US"/>
        </w:rPr>
        <w:fldChar w:fldCharType="end"/>
      </w:r>
      <w:r w:rsidR="007621CA">
        <w:rPr>
          <w:lang w:val="en-US"/>
        </w:rPr>
        <w:t xml:space="preserve"> and was therefore fixed to 1.</w:t>
      </w:r>
    </w:p>
    <w:p w14:paraId="33CEC0F2" w14:textId="77777777" w:rsidR="000F2FE0" w:rsidRPr="00EB0CC5" w:rsidRDefault="000F2FE0">
      <w:pPr>
        <w:rPr>
          <w:lang w:val="en-GB"/>
        </w:rPr>
      </w:pPr>
    </w:p>
    <w:p w14:paraId="1DCCC3FB" w14:textId="77777777" w:rsidR="00F21534" w:rsidRPr="002760DB" w:rsidRDefault="00F21534" w:rsidP="00F21534">
      <w:pPr>
        <w:pStyle w:val="Heading2"/>
        <w:keepNext w:val="0"/>
        <w:keepLines w:val="0"/>
        <w:widowControl w:val="0"/>
        <w:spacing w:before="100" w:beforeAutospacing="1" w:after="100" w:afterAutospacing="1" w:line="240" w:lineRule="auto"/>
        <w:jc w:val="left"/>
        <w:rPr>
          <w:sz w:val="24"/>
          <w:szCs w:val="24"/>
        </w:rPr>
      </w:pPr>
      <w:r w:rsidRPr="002760DB">
        <w:rPr>
          <w:sz w:val="24"/>
          <w:szCs w:val="24"/>
        </w:rPr>
        <w:t>Genome wide association analysis (GWAS)</w:t>
      </w:r>
    </w:p>
    <w:p w14:paraId="53873346" w14:textId="13878978" w:rsidR="00F21534" w:rsidRDefault="00F21534" w:rsidP="00F21534">
      <w:pPr>
        <w:pStyle w:val="BodyText"/>
        <w:spacing w:before="100" w:beforeAutospacing="1" w:after="100" w:afterAutospacing="1" w:line="480" w:lineRule="auto"/>
      </w:pPr>
      <w:r>
        <w:t xml:space="preserve">To test the association between individual </w:t>
      </w:r>
      <w:r w:rsidRPr="00B30311">
        <w:t xml:space="preserve">SNPs </w:t>
      </w:r>
      <w:r>
        <w:t>and resistance to VNN,</w:t>
      </w:r>
      <w:r w:rsidRPr="00B30311">
        <w:t xml:space="preserve"> </w:t>
      </w:r>
      <w:r w:rsidR="007621CA">
        <w:t xml:space="preserve">a </w:t>
      </w:r>
      <w:r>
        <w:t xml:space="preserve">classical genome wide association study (CGWAS) </w:t>
      </w:r>
      <w:r w:rsidRPr="00B30311">
        <w:t>was performed using</w:t>
      </w:r>
      <w:r>
        <w:t xml:space="preserve"> R/gaston </w:t>
      </w:r>
      <w:r w:rsidR="006D1A44">
        <w:fldChar w:fldCharType="begin" w:fldLock="1"/>
      </w:r>
      <w:r w:rsidR="00DF49E5">
        <w:instrText>ADDIN CSL_CITATION { "citationItems" : [ { "id" : "ITEM-1", "itemData" : { "author" : [ { "dropping-particle" : "", "family" : "Herv\u00e9 Perdry &amp; Claire Dandine-Roulland", "given" : "", "non-dropping-particle" : "", "parse-names" : false, "suffix" : "" } ], "id" : "ITEM-1", "issued" : { "date-parts" : [ [ "0" ] ] }, "title" : "gaston: Genetic Data Handling (QC, GRM, LD, PCA) &amp;amp; Linear Mixed Models version 1.5 from CRAN", "type" : "report" }, "uris" : [ "http://www.mendeley.com/documents/?uuid=0f299d76-3d4d-38c5-bdda-2f803a7b466e", "http://www.mendeley.com/documents/?uuid=c2c4e897-4cd8-46d2-9227-7cdccadd7e82" ] } ], "mendeley" : { "formattedCitation" : "(Herv\u00e9 Perdry &amp; Claire Dandine-Roulland)", "manualFormatting" : "(Herv\u00e9 Perdry and Claire Dandine-Roulland 2016)", "plainTextFormattedCitation" : "(Herv\u00e9 Perdry &amp; Claire Dandine-Roulland)", "previouslyFormattedCitation" : "(Herv\u00e9 Perdry &amp; Claire Dandine-Roulland)" }, "properties" : {  }, "schema" : "https://github.com/citation-style-language/schema/raw/master/csl-citation.json" }</w:instrText>
      </w:r>
      <w:r w:rsidR="006D1A44">
        <w:fldChar w:fldCharType="separate"/>
      </w:r>
      <w:r w:rsidR="00730D10">
        <w:rPr>
          <w:noProof/>
        </w:rPr>
        <w:t>(Perdry and</w:t>
      </w:r>
      <w:r w:rsidRPr="00941D12">
        <w:rPr>
          <w:noProof/>
        </w:rPr>
        <w:t xml:space="preserve"> Dandine-Roulland</w:t>
      </w:r>
      <w:r>
        <w:rPr>
          <w:noProof/>
        </w:rPr>
        <w:t xml:space="preserve"> 2016</w:t>
      </w:r>
      <w:r w:rsidRPr="00941D12">
        <w:rPr>
          <w:noProof/>
        </w:rPr>
        <w:t>)</w:t>
      </w:r>
      <w:r w:rsidR="006D1A44">
        <w:fldChar w:fldCharType="end"/>
      </w:r>
      <w:r w:rsidRPr="00B30311">
        <w:t xml:space="preserve">. The </w:t>
      </w:r>
      <w:r>
        <w:t xml:space="preserve">mixed </w:t>
      </w:r>
      <w:r w:rsidRPr="00B30311">
        <w:t xml:space="preserve">model </w:t>
      </w:r>
      <w:r>
        <w:t xml:space="preserve">applied for overall survival </w:t>
      </w:r>
      <w:r w:rsidRPr="00B30311">
        <w:t xml:space="preserve">had the </w:t>
      </w:r>
      <w:r>
        <w:t>same format as in (1</w:t>
      </w:r>
      <w:r w:rsidRPr="0089187A">
        <w:t>)</w:t>
      </w:r>
      <w:r>
        <w:t xml:space="preserve"> with the addition of including </w:t>
      </w:r>
      <w:r w:rsidR="007621CA">
        <w:t xml:space="preserve">each </w:t>
      </w:r>
      <w:r>
        <w:t xml:space="preserve">SNP as a fixed effect. The variance components were estimated </w:t>
      </w:r>
      <w:r w:rsidR="007621CA">
        <w:t xml:space="preserve">using the </w:t>
      </w:r>
      <w:r>
        <w:t>penalized quasi-likelihood</w:t>
      </w:r>
      <w:r w:rsidR="007621CA">
        <w:t xml:space="preserve"> approach</w:t>
      </w:r>
      <w:r>
        <w:t xml:space="preserve"> </w:t>
      </w:r>
      <w:r w:rsidR="006D1A44">
        <w:fldChar w:fldCharType="begin" w:fldLock="1"/>
      </w:r>
      <w:r w:rsidR="00C242BD">
        <w:instrText>ADDIN CSL_CITATION { "citationItems" : [ { "id" : "ITEM-1", "itemData" : { "DOI" : "10.1016/j.ajhg.2016.02.012", "ISBN" : "1537-6605 (Electronic)\\r0002-9297 (Linking)", "ISSN" : "15376605", "PMID" : "27018471", "abstract" : "Linear mixed models (LMMs) are widely used in genome-wide association studies (GWASs) to account for population structure and relatedness, for both continuous and binary traits. Motivated by the failure of LMMs to control type I errors in a GWAS of asthma, a binary trait, we show that LMMs are generally inappropriate for analyzing binary traits when population stratification leads to violation of the LMM's constant-residual variance assumption. To overcome this problem, we develop a computationally efficient logistic mixed model approach for genome-wide analysis of binary traits, the generalized linear mixed model association test (GMMAT). This approach fits a logistic mixed model once per GWAS and performs score tests under the null hypothesis of no association between a binary trait and individual genetic variants. We show in simulation studies and real data analysis that GMMAT effectively controls for population structure and relatedness when analyzing binary traits in a wide variety of study designs.", "author" : [ { "dropping-particle" : "", "family" : "Chen", "given" : "Han", "non-dropping-particle" : "", "parse-names" : false, "suffix" : "" }, { "dropping-particle" : "", "family" : "Wang", "given" : "Chaolong", "non-dropping-particle" : "", "parse-names" : false, "suffix" : "" }, { "dropping-particle" : "", "family" : "Conomos", "given" : "Matthew P.", "non-dropping-particle" : "", "parse-names" : false, "suffix" : "" }, { "dropping-particle" : "", "family" : "Stilp", "given" : "Adrienne M.", "non-dropping-particle" : "", "parse-names" : false, "suffix" : "" }, { "dropping-particle" : "", "family" : "Li", "given" : "Zilin", "non-dropping-particle" : "", "parse-names" : false, "suffix" : "" }, { "dropping-particle" : "", "family" : "Sofer", "given" : "Tamar", "non-dropping-particle" : "", "parse-names" : false, "suffix" : "" }, { "dropping-particle" : "", "family" : "Szpiro", "given" : "Adam A.", "non-dropping-particle" : "", "parse-names" : false, "suffix" : "" }, { "dropping-particle" : "", "family" : "Chen", "given" : "Wei", "non-dropping-particle" : "", "parse-names" : false, "suffix" : "" }, { "dropping-particle" : "", "family" : "Brehm", "given" : "John M.", "non-dropping-particle" : "", "parse-names" : false, "suffix" : "" }, { "dropping-particle" : "", "family" : "Celed\u00f3n", "given" : "Juan C.", "non-dropping-particle" : "", "parse-names" : false, "suffix" : "" }, { "dropping-particle" : "", "family" : "Redline", "given" : "Susan", "non-dropping-particle" : "", "parse-names" : false, "suffix" : "" }, { "dropping-particle" : "", "family" : "Papanicolaou", "given" : "George J.", "non-dropping-particle" : "", "parse-names" : false, "suffix" : "" }, { "dropping-particle" : "", "family" : "Thornton", "given" : "Timothy A.", "non-dropping-particle" : "", "parse-names" : false, "suffix" : "" }, { "dropping-particle" : "", "family" : "Laurie", "given" : "Cathy C.", "non-dropping-particle" : "", "parse-names" : false, "suffix" : "" }, { "dropping-particle" : "", "family" : "Rice", "given" : "Kenneth", "non-dropping-particle" : "", "parse-names" : false, "suffix" : "" }, { "dropping-particle" : "", "family" : "Lin", "given" : "Xihong", "non-dropping-particle" : "", "parse-names" : false, "suffix" : "" } ], "container-title" : "American Journal of Human Genetics", "id" : "ITEM-1", "issue" : "4", "issued" : { "date-parts" : [ [ "2016" ] ] }, "page" : "653-666", "title" : "Control for Population Structure and Relatedness for Binary Traits in Genetic Association Studies via Logistic Mixed Models", "type" : "article-journal", "volume" : "98" }, "uris" : [ "http://www.mendeley.com/documents/?uuid=c00e3205-9ca5-4464-9802-e6ae9d5b05a8", "http://www.mendeley.com/documents/?uuid=e32211b2-8792-4188-9867-9fe573ef6355" ] } ], "mendeley" : { "formattedCitation" : "(Chen &lt;i&gt;et al.&lt;/i&gt; 2016)", "plainTextFormattedCitation" : "(Chen et al. 2016)", "previouslyFormattedCitation" : "(Chen &lt;i&gt;et al.&lt;/i&gt; 2016)" }, "properties" : {  }, "schema" : "https://github.com/citation-style-language/schema/raw/master/csl-citation.json" }</w:instrText>
      </w:r>
      <w:r w:rsidR="006D1A44">
        <w:fldChar w:fldCharType="separate"/>
      </w:r>
      <w:r w:rsidRPr="00B13322">
        <w:rPr>
          <w:noProof/>
        </w:rPr>
        <w:t xml:space="preserve">(Chen </w:t>
      </w:r>
      <w:r w:rsidRPr="00B13322">
        <w:rPr>
          <w:i/>
          <w:noProof/>
        </w:rPr>
        <w:t>et al.</w:t>
      </w:r>
      <w:r w:rsidRPr="00B13322">
        <w:rPr>
          <w:noProof/>
        </w:rPr>
        <w:t xml:space="preserve"> 2016)</w:t>
      </w:r>
      <w:r w:rsidR="006D1A44">
        <w:fldChar w:fldCharType="end"/>
      </w:r>
      <w:r>
        <w:t>.</w:t>
      </w:r>
      <w:r w:rsidRPr="00B30311">
        <w:t xml:space="preserve"> </w:t>
      </w:r>
      <w:r w:rsidRPr="00B67033">
        <w:t xml:space="preserve">The genome-wide </w:t>
      </w:r>
      <w:r>
        <w:t xml:space="preserve">significance threshold was calculated using a </w:t>
      </w:r>
      <w:r w:rsidRPr="00B67033">
        <w:t>Bonferroni correction (0.05</w:t>
      </w:r>
      <w:r w:rsidR="005A61F2">
        <w:t xml:space="preserve"> </w:t>
      </w:r>
      <w:r w:rsidRPr="00B67033">
        <w:t>/</w:t>
      </w:r>
      <w:r w:rsidR="005A61F2">
        <w:t xml:space="preserve"> </w:t>
      </w:r>
      <w:r w:rsidRPr="00B67033">
        <w:t xml:space="preserve">N), where N represents the number </w:t>
      </w:r>
      <w:r w:rsidR="00730D10">
        <w:t>of tested</w:t>
      </w:r>
      <w:r>
        <w:t xml:space="preserve"> SNPs</w:t>
      </w:r>
      <w:r w:rsidR="00730D10">
        <w:t>.</w:t>
      </w:r>
      <w:r>
        <w:t xml:space="preserve"> </w:t>
      </w:r>
    </w:p>
    <w:p w14:paraId="04C6DC06" w14:textId="51B174AB" w:rsidR="00F21534" w:rsidRPr="008077EE" w:rsidRDefault="00F21534" w:rsidP="00F21534">
      <w:pPr>
        <w:widowControl w:val="0"/>
        <w:autoSpaceDE w:val="0"/>
        <w:autoSpaceDN w:val="0"/>
        <w:adjustRightInd w:val="0"/>
        <w:spacing w:after="240" w:line="480" w:lineRule="auto"/>
        <w:jc w:val="both"/>
      </w:pPr>
      <w:r>
        <w:t xml:space="preserve">Weighted genomic best linear unbiased predictor (WGBLUP) was performed </w:t>
      </w:r>
      <w:r w:rsidR="006D1A44">
        <w:fldChar w:fldCharType="begin" w:fldLock="1"/>
      </w:r>
      <w:r w:rsidR="00C242BD">
        <w:instrText>ADDIN CSL_CITATION { "citationItems" : [ { "id" : "ITEM-1", "itemData" : { "DOI" : "10.1017/S0016672312000274", "ISBN" : "0016-6723", "ISSN" : "00166723", "PMID" : "22624567", "abstract" : "A common problem for genome-wide association analysis (GWAS) is lack of power for detection of quantitative trait loci (QTLs) and precision for fine mapping. Here, we present a statistical method, termed single-step GBLUP (ssGBLUP), which increases both power and precision without increasing genotyping costs by taking advantage of phenotypes from other related and unrelated subjects. The procedure achieves these goals by blending traditional pedigree relationships with those derived from genetic markers, and by conversion of estimated breeding values (EBVs) to marker effects and weights. Additionally, the application of mixed model approaches allow for both simple and complex analyses that involve multiple traits and confounding factors, such as environmental, epigenetic or maternal environmental effects. Efficiency of the method was examined using simulations with 15 800 subjects, of which 1500 were genotyped. Thirty QTLs were simulated across genome and assumed heritability was 0.5. Comparisons included ssGBLUP applied directly to phenotypes, BayesB and classical GWAS (CGWAS) with deregressed proofs. An average accuracy of prediction 0.89 was obtained by ssGBLUP after one iteration, which was 0.01 higher than by BayesB. Power and precision for GWAS applications were evaluated by the correlation between true QTL effects and the sum of m adjacent single nucleotide polymorphism (SNP) effects. The highest correlations were 0.82 and 0.74 for ssGBLUP and CGWAS with m=8, and 0.83 for BayesB with m=16. Standard deviations of the correlations across replicates were several times higher in BayesB than in ssGBLUP. The ssGBLUP method with marker weights is faster, more accurate and easier to implement for GWAS applications without computing pseudo-data.", "author" : [ { "dropping-particle" : "", "family" : "Wang", "given" : "H.", "non-dropping-particle" : "", "parse-names" : false, "suffix" : "" }, { "dropping-particle" : "", "family" : "Misztal", "given" : "I.", "non-dropping-particle" : "", "parse-names" : false, "suffix" : "" }, { "dropping-particle" : "", "family" : "Aguilar", "given" : "I.", "non-dropping-particle" : "", "parse-names" : false, "suffix" : "" }, { "dropping-particle" : "", "family" : "Legarra", "given" : "A.", "non-dropping-particle" : "", "parse-names" : false, "suffix" : "" }, { "dropping-particle" : "", "family" : "Muir", "given" : "W. M.", "non-dropping-particle" : "", "parse-names" : false, "suffix" : "" } ], "container-title" : "Genetics Research", "id" : "ITEM-1", "issue" : "2", "issued" : { "date-parts" : [ [ "2012" ] ] }, "page" : "73-83", "title" : "Genome-wide association mapping including phenotypes from relatives without genotypes", "type" : "article-journal", "volume" : "94" }, "uris" : [ "http://www.mendeley.com/documents/?uuid=0316eeba-28f7-4486-b948-b74435fc86e3", "http://www.mendeley.com/documents/?uuid=87ea41d1-f4ef-44c3-9d42-e13af660562b" ] } ], "mendeley" : { "formattedCitation" : "(Wang &lt;i&gt;et al.&lt;/i&gt; 2012)", "plainTextFormattedCitation" : "(Wang et al. 2012)", "previouslyFormattedCitation" : "(Wang &lt;i&gt;et al.&lt;/i&gt; 2012)" }, "properties" : {  }, "schema" : "https://github.com/citation-style-language/schema/raw/master/csl-citation.json" }</w:instrText>
      </w:r>
      <w:r w:rsidR="006D1A44">
        <w:fldChar w:fldCharType="separate"/>
      </w:r>
      <w:r w:rsidRPr="00FB1078">
        <w:rPr>
          <w:noProof/>
        </w:rPr>
        <w:t xml:space="preserve">(Wang </w:t>
      </w:r>
      <w:r w:rsidRPr="00FB1078">
        <w:rPr>
          <w:i/>
          <w:noProof/>
        </w:rPr>
        <w:t>et al.</w:t>
      </w:r>
      <w:r w:rsidRPr="00FB1078">
        <w:rPr>
          <w:noProof/>
        </w:rPr>
        <w:t xml:space="preserve"> 2012)</w:t>
      </w:r>
      <w:r w:rsidR="006D1A44">
        <w:fldChar w:fldCharType="end"/>
      </w:r>
      <w:r>
        <w:t xml:space="preserve"> using windows of </w:t>
      </w:r>
      <w:r w:rsidR="005A61F2">
        <w:t>ten</w:t>
      </w:r>
      <w:r>
        <w:t xml:space="preserve"> adjacent SNPs for estimating SNP effects and direct genomic values (DGV) instead of genomic estimated breeding values (GEBV) to reduce bias </w:t>
      </w:r>
      <w:r w:rsidR="006D1A44">
        <w:fldChar w:fldCharType="begin" w:fldLock="1"/>
      </w:r>
      <w:r w:rsidR="00C242BD">
        <w:instrText>ADDIN CSL_CITATION { "citationItems" : [ { "id" : "ITEM-1", "itemData" : { "DOI" : "10.2527/jas.2014-8836", "ISBN" : "0021-8812", "ISSN" : "15253163", "PMID" : "26115253", "abstract" : "Predictive ability of genomic EBV when using single-step genomic BLUP (ssGBLUP) in Angus cattle was investigated. Over 6 million records were available on birth weight (BiW) and weaning weight (WW), almost 3.4 million on postweaning gain (PWG), and over 1.3 million on calving ease (CE). Genomic information was available on, at most, 51,883 animals, which included high and low EBV accuracy animals. Traditional EBV was computed by BLUP and genomic EBV by ssGBLUP and indirect prediction based on SNP effects was derived from ssGBLUP; SNP effects were calculated based on the following reference populations: ref_2k (contains top bulls and top cows that had an EBV accuracy for BiW \u22650.85), ref_8k (contains all parents that were genotyped), and ref_33k (contains all genotyped animals born up to 2012). Indirect prediction was obtained as direct genomic value (DGV) or as an index of DGV and parent average (PA). Additionally, runs with ssGBLUP used the inverse of the genomic relationship matrix calculated by an algorithm for proven and young animals (APY) that uses recursions on a small subset of reference animals. An extra reference subset included 3,872 genotyped parents of genotyped animals (ref_4k). Cross-validation was used to assess predictive ability on a validation population of 18,721 animals born in 2013. Computations for growth traits used multiple-trait linear model and, for CE, a bivariate CE\u2013BiW threshold-linear model. With BLUP, predictivities were 0.29, 0.34, 0.23, and 0.12 for BiW, WW, PWG, and CE, respectively. With ssGBLUP and ref_2k, predictivities were 0.34, 0.35, 0.27, and 0.13 for BiW, WW, PWG, and CE, respectively, and with ssGBLUP and ref_33k, predictivities were 0.39, 0.38, 0.29, and 0.13 for BiW, WW, PWG, and CE, respectively. Low predictivity for CE was due to low incidence rate of difficult calving. Indirect predictions with ref_33k were as accurate as with full ssGBLUP. Using the APY and recursions on ref_4k gave 88% gains of full ssGBLUP and using the APY and recursions on ref_8k gave 97% gains of full ssGBLUP. Genomic evaluation in beef cattle with ssGBLUP is feasible while keeping the models (maternal, multiple trait, and threshold) already used in regular BLUP. Gains in predictivity are dependent on the composition of the reference population. Indirect predictions via SNP effects derived from ssGBLUP allow for accurate genomic predictions on young animals, with no advantage of including PA in the index if the reference population i\u2026", "author" : [ { "dropping-particle" : "", "family" : "Lourenco", "given" : "D. A L", "non-dropping-particle" : "", "parse-names" : false, "suffix" : "" }, { "dropping-particle" : "", "family" : "Tsuruta", "given" : "S.", "non-dropping-particle" : "", "parse-names" : false, "suffix" : "" }, { "dropping-particle" : "", "family" : "Fragomeni", "given" : "B. O.", "non-dropping-particle" : "", "parse-names" : false, "suffix" : "" }, { "dropping-particle" : "", "family" : "Masuda", "given" : "Y.", "non-dropping-particle" : "", "parse-names" : false, "suffix" : "" }, { "dropping-particle" : "", "family" : "Aguilar", "given" : "I.", "non-dropping-particle" : "", "parse-names" : false, "suffix" : "" }, { "dropping-particle" : "", "family" : "Legarra", "given" : "A.", "non-dropping-particle" : "", "parse-names" : false, "suffix" : "" }, { "dropping-particle" : "", "family" : "Bertrand", "given" : "J. K.", "non-dropping-particle" : "", "parse-names" : false, "suffix" : "" }, { "dropping-particle" : "", "family" : "Amen", "given" : "T. S.", "non-dropping-particle" : "", "parse-names" : false, "suffix" : "" }, { "dropping-particle" : "", "family" : "Wang", "given" : "L.", "non-dropping-particle" : "", "parse-names" : false, "suffix" : "" }, { "dropping-particle" : "", "family" : "Moser", "given" : "D. W.", "non-dropping-particle" : "", "parse-names" : false, "suffix" : "" }, { "dropping-particle" : "", "family" : "Misztal", "given" : "I.", "non-dropping-particle" : "", "parse-names" : false, "suffix" : "" } ], "container-title" : "Journal of animal science", "id" : "ITEM-1", "issue" : "6", "issued" : { "date-parts" : [ [ "2015" ] ] }, "page" : "2653-2662", "title" : "Genetic evaluation using single-step genomic best linear unbiased predictor in American Angus", "type" : "article-journal", "volume" : "93" }, "uris" : [ "http://www.mendeley.com/documents/?uuid=b905d7b9-b328-4f84-8069-47f8a6f84480", "http://www.mendeley.com/documents/?uuid=8c12af6d-6b78-4f90-844e-fd852b96b994" ] }, { "id" : "ITEM-2", "itemData" : { "DOI" : "10.3389/fgene.2016.00151", "ISBN" : "1664-8021", "ISSN" : "16648021", "PMID" : "27594861", "abstract" : "Genomic Best Linear Unbiased Predictor (GBLUP) assumes equal variance for all single nucleotide polymorphisms (SNP). When traits are influenced by major SNP, Bayesian methods have the advantage of SNP selection. To overcome the limitation of GBLUP, unequal variance or weights for all SNP are applied in a method called weighted GBLUP (WGBLUP). If only a fraction of animals is genotyped, single-step WGBLUP (WssGBLUP) can be used. Default weights in WGBLUP or WssGBLUP are obtained iteratively based on single SNP effect squared (u^2) and/or heterozygosity. When the weights are optimal, prediction accuracy and ability to detect major SNP are maximized. The objective was to develop optimal weights for WGBLUP-based methods. We evaluated 5 new procedures that accounted for locus-specific or windows-specific variance to maximize accuracy of predicting genomic estimated breeding value (GEBV) and SNP effect. Simulated datasets consisted of phenotypes for 13,000 animals, including 1,540 animals genotyped for 45,000 SNP. Scenarios with 5, 100 and 500 simulated quantitative trait loci (QTL) were considered. The 5 new procedures for SNP weighting were: 1) u^2 plus a constant equal to the weight of the top SNP; 2) from a heavy-tailed distribution (similar to BayesA); 3) for every 20 SNP in a window along the whole genome, the largest effect (u^2) among them; 4) the mean effect of every 20 SNP; and 5) the summation of every 20 SNP. Those methods were compared to the default WssGBLUP, GBLUP, BayesB, and BayesC. WssGBLUP methods were evaluated over 10 iterations. The accuracy of predicting GEBV was the correlation between true and estimated genomic breeding values for 300 genotyped animals from the last generation. The ability to detect the simulated QTL was also investigated. For most of the QTL scenarios, the accuracies obtained with all WssGBLUP procedures were higher compared to those from BayesB and BayesC, partly due to automatic inclusion of parent average in the former. Manhattan plots had higher resolution with 5 and 100 QTL. Using a common weight for a window of 20 SNP that sums or averages the SNP variance enhances accuracy of predicting GEBV and provides accurate estimation of marker effects.", "author" : [ { "dropping-particle" : "", "family" : "Zhang", "given" : "Xinyue", "non-dropping-particle" : "", "parse-names" : false, "suffix" : "" }, { "dropping-particle" : "", "family" : "Lourenco", "given" : "Daniela", "non-dropping-particle" : "", "parse-names" : false, "suffix" : "" }, { "dropping-particle" : "", "family" : "Aguilar", "given" : "Ignacio", "non-dropping-particle" : "", "parse-names" : false, "suffix" : "" }, { "dropping-particle" : "", "family" : "Legarra", "given" : "Andres", "non-dropping-particle" : "", "parse-names" : false, "suffix" : "" }, { "dropping-particle" : "", "family" : "Misztal", "given" : "Ignacy", "non-dropping-particle" : "", "parse-names" : false, "suffix" : "" } ], "container-title" : "Frontiers in Genetics", "id" : "ITEM-2", "issue" : "AUG", "issued" : { "date-parts" : [ [ "2016" ] ] }, "title" : "Weighting strategies for single-step genomic BLUP: An iterative approach for accurate calculation of GEBV and GWAS", "type" : "article-journal", "volume" : "7" }, "uris" : [ "http://www.mendeley.com/documents/?uuid=b720bf95-fd77-4569-b680-590726bf6629", "http://www.mendeley.com/documents/?uuid=a0688bd4-7b05-4b45-aad6-2f718ebc9676" ] } ], "mendeley" : { "formattedCitation" : "(Lourenco &lt;i&gt;et al.&lt;/i&gt; 2015; Zhang &lt;i&gt;et al.&lt;/i&gt; 2016)", "plainTextFormattedCitation" : "(Lourenco et al. 2015; Zhang et al. 2016)", "previouslyFormattedCitation" : "(Lourenco &lt;i&gt;et al.&lt;/i&gt; 2015; Zhang &lt;i&gt;et al.&lt;/i&gt; 2016)" }, "properties" : {  }, "schema" : "https://github.com/citation-style-language/schema/raw/master/csl-citation.json" }</w:instrText>
      </w:r>
      <w:r w:rsidR="006D1A44">
        <w:fldChar w:fldCharType="separate"/>
      </w:r>
      <w:r w:rsidRPr="00FB1078">
        <w:rPr>
          <w:noProof/>
        </w:rPr>
        <w:t xml:space="preserve">(Lourenco </w:t>
      </w:r>
      <w:r w:rsidRPr="00FB1078">
        <w:rPr>
          <w:i/>
          <w:noProof/>
        </w:rPr>
        <w:t>et al.</w:t>
      </w:r>
      <w:r w:rsidRPr="00FB1078">
        <w:rPr>
          <w:noProof/>
        </w:rPr>
        <w:t xml:space="preserve"> 2015; Zhang </w:t>
      </w:r>
      <w:r w:rsidRPr="00FB1078">
        <w:rPr>
          <w:i/>
          <w:noProof/>
        </w:rPr>
        <w:t>et al.</w:t>
      </w:r>
      <w:r w:rsidRPr="00FB1078">
        <w:rPr>
          <w:noProof/>
        </w:rPr>
        <w:t xml:space="preserve"> 2016)</w:t>
      </w:r>
      <w:r w:rsidR="006D1A44">
        <w:fldChar w:fldCharType="end"/>
      </w:r>
      <w:r>
        <w:t xml:space="preserve">. </w:t>
      </w:r>
      <w:r w:rsidRPr="008077EE">
        <w:t xml:space="preserve">The </w:t>
      </w:r>
      <w:r>
        <w:t xml:space="preserve">weighted </w:t>
      </w:r>
      <w:r w:rsidRPr="008077EE">
        <w:t>genomic</w:t>
      </w:r>
      <w:r>
        <w:t xml:space="preserve"> relationship</w:t>
      </w:r>
      <w:r w:rsidRPr="008077EE">
        <w:t xml:space="preserve"> matrix </w:t>
      </w:r>
      <w:r>
        <w:t>was initially</w:t>
      </w:r>
      <w:r w:rsidRPr="008077EE">
        <w:t xml:space="preserve"> created following</w:t>
      </w:r>
      <w:r>
        <w:t xml:space="preserve"> </w:t>
      </w:r>
      <w:r w:rsidR="00A86742">
        <w:rPr>
          <w:color w:val="000000" w:themeColor="text1"/>
        </w:rPr>
        <w:t>VanR</w:t>
      </w:r>
      <w:r w:rsidRPr="00FB1078">
        <w:rPr>
          <w:color w:val="000000" w:themeColor="text1"/>
        </w:rPr>
        <w:t xml:space="preserve">aden </w:t>
      </w:r>
      <w:r w:rsidRPr="00A86742">
        <w:rPr>
          <w:color w:val="000000" w:themeColor="text1"/>
        </w:rPr>
        <w:t>(2008)</w:t>
      </w:r>
      <w:r w:rsidRPr="008077EE">
        <w:rPr>
          <w:color w:val="3B3B3B"/>
        </w:rPr>
        <w:t xml:space="preserve"> </w:t>
      </w:r>
      <w:r w:rsidRPr="008077EE">
        <w:t xml:space="preserve">as: </w:t>
      </w:r>
    </w:p>
    <w:p w14:paraId="5BF3929E" w14:textId="77777777" w:rsidR="00F21534" w:rsidRPr="008077EE" w:rsidRDefault="00F21534" w:rsidP="00F21534">
      <w:pPr>
        <w:widowControl w:val="0"/>
        <w:autoSpaceDE w:val="0"/>
        <w:autoSpaceDN w:val="0"/>
        <w:adjustRightInd w:val="0"/>
        <w:spacing w:after="240"/>
        <w:rPr>
          <w:b/>
        </w:rPr>
      </w:pPr>
      <w:r w:rsidRPr="008077EE">
        <w:rPr>
          <w:b/>
          <w:iCs/>
        </w:rPr>
        <w:lastRenderedPageBreak/>
        <w:t>G</w:t>
      </w:r>
      <w:r>
        <w:rPr>
          <w:b/>
          <w:iCs/>
          <w:vertAlign w:val="superscript"/>
        </w:rPr>
        <w:t>*</w:t>
      </w:r>
      <w:r w:rsidRPr="008077EE">
        <w:rPr>
          <w:b/>
          <w:iCs/>
        </w:rPr>
        <w:t xml:space="preserve"> </w:t>
      </w:r>
      <w:r w:rsidRPr="008077EE">
        <w:rPr>
          <w:b/>
        </w:rPr>
        <w:t xml:space="preserve">= </w:t>
      </w:r>
      <w:r w:rsidRPr="008077EE">
        <w:rPr>
          <w:b/>
          <w:iCs/>
        </w:rPr>
        <w:t>ZDZ</w:t>
      </w:r>
      <w:r w:rsidRPr="008077EE">
        <w:rPr>
          <w:rFonts w:eastAsia="Calibri"/>
          <w:b/>
          <w:position w:val="10"/>
        </w:rPr>
        <w:t>′</w:t>
      </w:r>
      <w:r w:rsidRPr="008077EE">
        <w:rPr>
          <w:b/>
          <w:iCs/>
        </w:rPr>
        <w:t xml:space="preserve">q </w:t>
      </w:r>
    </w:p>
    <w:p w14:paraId="2A4C9955" w14:textId="77777777" w:rsidR="00F21534" w:rsidRPr="008077EE" w:rsidRDefault="00F21534" w:rsidP="00F21534">
      <w:pPr>
        <w:widowControl w:val="0"/>
        <w:autoSpaceDE w:val="0"/>
        <w:autoSpaceDN w:val="0"/>
        <w:adjustRightInd w:val="0"/>
        <w:spacing w:after="240" w:line="480" w:lineRule="auto"/>
        <w:jc w:val="both"/>
      </w:pPr>
      <w:r w:rsidRPr="008077EE">
        <w:t xml:space="preserve">where </w:t>
      </w:r>
      <w:r w:rsidRPr="00477550">
        <w:rPr>
          <w:b/>
          <w:iCs/>
        </w:rPr>
        <w:t>Z</w:t>
      </w:r>
      <w:r w:rsidRPr="008077EE">
        <w:rPr>
          <w:i/>
          <w:iCs/>
        </w:rPr>
        <w:t xml:space="preserve"> </w:t>
      </w:r>
      <w:r w:rsidR="00F170FF">
        <w:rPr>
          <w:i/>
          <w:iCs/>
        </w:rPr>
        <w:t xml:space="preserve">is </w:t>
      </w:r>
      <w:r>
        <w:t>the design matrix relating genotypes of each locus</w:t>
      </w:r>
      <w:r w:rsidRPr="008077EE">
        <w:t xml:space="preserve">, </w:t>
      </w:r>
      <w:r w:rsidRPr="00477550">
        <w:rPr>
          <w:b/>
          <w:iCs/>
        </w:rPr>
        <w:t>D</w:t>
      </w:r>
      <w:r w:rsidRPr="008077EE">
        <w:rPr>
          <w:i/>
          <w:iCs/>
        </w:rPr>
        <w:t xml:space="preserve"> </w:t>
      </w:r>
      <w:r w:rsidRPr="008077EE">
        <w:t xml:space="preserve">is a weight matrix for </w:t>
      </w:r>
      <w:r>
        <w:t xml:space="preserve">all </w:t>
      </w:r>
      <w:r w:rsidRPr="008077EE">
        <w:t>SNP</w:t>
      </w:r>
      <w:r>
        <w:t xml:space="preserve">s, and </w:t>
      </w:r>
      <w:r w:rsidRPr="00BB210D">
        <w:rPr>
          <w:b/>
        </w:rPr>
        <w:t xml:space="preserve">q </w:t>
      </w:r>
      <w:r>
        <w:t>is a weight</w:t>
      </w:r>
      <w:r w:rsidRPr="008077EE">
        <w:t xml:space="preserve">ing </w:t>
      </w:r>
      <w:r>
        <w:t>vector derived from observed SNP frequencies</w:t>
      </w:r>
      <w:r w:rsidRPr="008077EE">
        <w:t xml:space="preserve">. </w:t>
      </w:r>
      <w:r>
        <w:t>Briefly the steps for performing WGBLUP were as follows</w:t>
      </w:r>
      <w:r w:rsidR="00841D94">
        <w:t xml:space="preserve"> </w:t>
      </w:r>
      <w:r w:rsidR="006D1A44">
        <w:fldChar w:fldCharType="begin" w:fldLock="1"/>
      </w:r>
      <w:r w:rsidR="00841D94">
        <w:instrText>ADDIN CSL_CITATION { "citationItems" : [ { "id" : "ITEM-1", "itemData" : { "DOI" : "10.1017/S0016672312000274", "ISBN" : "0016-6723", "ISSN" : "00166723", "PMID" : "22624567", "abstract" : "A common problem for genome-wide association analysis (GWAS) is lack of power for detection of quantitative trait loci (QTLs) and precision for fine mapping. Here, we present a statistical method, termed single-step GBLUP (ssGBLUP), which increases both power and precision without increasing genotyping costs by taking advantage of phenotypes from other related and unrelated subjects. The procedure achieves these goals by blending traditional pedigree relationships with those derived from genetic markers, and by conversion of estimated breeding values (EBVs) to marker effects and weights. Additionally, the application of mixed model approaches allow for both simple and complex analyses that involve multiple traits and confounding factors, such as environmental, epigenetic or maternal environmental effects. Efficiency of the method was examined using simulations with 15 800 subjects, of which 1500 were genotyped. Thirty QTLs were simulated across genome and assumed heritability was 0.5. Comparisons included ssGBLUP applied directly to phenotypes, BayesB and classical GWAS (CGWAS) with deregressed proofs. An average accuracy of prediction 0.89 was obtained by ssGBLUP after one iteration, which was 0.01 higher than by BayesB. Power and precision for GWAS applications were evaluated by the correlation between true QTL effects and the sum of m adjacent single nucleotide polymorphism (SNP) effects. The highest correlations were 0.82 and 0.74 for ssGBLUP and CGWAS with m=8, and 0.83 for BayesB with m=16. Standard deviations of the correlations across replicates were several times higher in BayesB than in ssGBLUP. The ssGBLUP method with marker weights is faster, more accurate and easier to implement for GWAS applications without computing pseudo-data.", "author" : [ { "dropping-particle" : "", "family" : "Wang", "given" : "H.", "non-dropping-particle" : "", "parse-names" : false, "suffix" : "" }, { "dropping-particle" : "", "family" : "Misztal", "given" : "I.", "non-dropping-particle" : "", "parse-names" : false, "suffix" : "" }, { "dropping-particle" : "", "family" : "Aguilar", "given" : "I.", "non-dropping-particle" : "", "parse-names" : false, "suffix" : "" }, { "dropping-particle" : "", "family" : "Legarra", "given" : "A.", "non-dropping-particle" : "", "parse-names" : false, "suffix" : "" }, { "dropping-particle" : "", "family" : "Muir", "given" : "W. M.", "non-dropping-particle" : "", "parse-names" : false, "suffix" : "" } ], "container-title" : "Genetics Research", "id" : "ITEM-1", "issue" : "2", "issued" : { "date-parts" : [ [ "2012" ] ] }, "page" : "73-83", "title" : "Genome-wide association mapping including phenotypes from relatives without genotypes", "type" : "article-journal", "volume" : "94" }, "uris" : [ "http://www.mendeley.com/documents/?uuid=87ea41d1-f4ef-44c3-9d42-e13af660562b" ] } ], "mendeley" : { "formattedCitation" : "(Wang &lt;i&gt;et al.&lt;/i&gt; 2012)", "plainTextFormattedCitation" : "(Wang et al. 2012)", "previouslyFormattedCitation" : "(Wang &lt;i&gt;et al.&lt;/i&gt; 2012)" }, "properties" : {  }, "schema" : "https://github.com/citation-style-language/schema/raw/master/csl-citation.json" }</w:instrText>
      </w:r>
      <w:r w:rsidR="006D1A44">
        <w:fldChar w:fldCharType="separate"/>
      </w:r>
      <w:r w:rsidR="00841D94" w:rsidRPr="00841D94">
        <w:rPr>
          <w:noProof/>
        </w:rPr>
        <w:t xml:space="preserve">(Wang </w:t>
      </w:r>
      <w:r w:rsidR="00841D94" w:rsidRPr="00841D94">
        <w:rPr>
          <w:i/>
          <w:noProof/>
        </w:rPr>
        <w:t>et al.</w:t>
      </w:r>
      <w:r w:rsidR="00841D94" w:rsidRPr="00841D94">
        <w:rPr>
          <w:noProof/>
        </w:rPr>
        <w:t xml:space="preserve"> 2012)</w:t>
      </w:r>
      <w:r w:rsidR="006D1A44">
        <w:fldChar w:fldCharType="end"/>
      </w:r>
      <w:r w:rsidRPr="00FB1078">
        <w:rPr>
          <w:color w:val="000000" w:themeColor="text1"/>
        </w:rPr>
        <w:t xml:space="preserve">: </w:t>
      </w:r>
    </w:p>
    <w:p w14:paraId="57A314DD" w14:textId="77777777" w:rsidR="00F21534" w:rsidRPr="008077EE" w:rsidRDefault="00F21534" w:rsidP="00F21534">
      <w:pPr>
        <w:pStyle w:val="ListParagraph"/>
        <w:widowControl w:val="0"/>
        <w:numPr>
          <w:ilvl w:val="0"/>
          <w:numId w:val="1"/>
        </w:numPr>
        <w:autoSpaceDE w:val="0"/>
        <w:autoSpaceDN w:val="0"/>
        <w:adjustRightInd w:val="0"/>
        <w:spacing w:after="240"/>
        <w:ind w:left="0" w:firstLine="142"/>
        <w:rPr>
          <w:rFonts w:ascii="MS Mincho" w:eastAsia="MS Mincho" w:hAnsi="MS Mincho" w:cs="MS Mincho"/>
        </w:rPr>
      </w:pPr>
      <w:r>
        <w:rPr>
          <w:rFonts w:ascii="Times New Roman" w:hAnsi="Times New Roman" w:cs="Times New Roman"/>
        </w:rPr>
        <w:t>Initialize</w:t>
      </w:r>
      <w:r w:rsidRPr="008077EE">
        <w:rPr>
          <w:rFonts w:ascii="Times New Roman" w:hAnsi="Times New Roman" w:cs="Times New Roman"/>
        </w:rPr>
        <w:t xml:space="preserve"> </w:t>
      </w:r>
      <w:r w:rsidRPr="008077EE">
        <w:rPr>
          <w:rFonts w:ascii="Times New Roman" w:hAnsi="Times New Roman" w:cs="Times New Roman"/>
          <w:b/>
        </w:rPr>
        <w:t>D</w:t>
      </w:r>
      <w:r w:rsidRPr="008077EE">
        <w:rPr>
          <w:rFonts w:ascii="Times New Roman" w:hAnsi="Times New Roman" w:cs="Times New Roman"/>
        </w:rPr>
        <w:t xml:space="preserve"> = </w:t>
      </w:r>
      <w:r w:rsidRPr="008077EE">
        <w:rPr>
          <w:rFonts w:ascii="Times New Roman" w:hAnsi="Times New Roman" w:cs="Times New Roman"/>
          <w:b/>
        </w:rPr>
        <w:t>I</w:t>
      </w:r>
      <w:r>
        <w:rPr>
          <w:rFonts w:ascii="Times New Roman" w:hAnsi="Times New Roman" w:cs="Times New Roman"/>
        </w:rPr>
        <w:t xml:space="preserve"> and t=1, where</w:t>
      </w:r>
      <w:r w:rsidR="00BE6843">
        <w:rPr>
          <w:rFonts w:ascii="Times New Roman" w:hAnsi="Times New Roman" w:cs="Times New Roman"/>
        </w:rPr>
        <w:t xml:space="preserve"> </w:t>
      </w:r>
      <w:r w:rsidR="00BE6843" w:rsidRPr="00BE6843">
        <w:rPr>
          <w:rFonts w:ascii="Times New Roman" w:hAnsi="Times New Roman" w:cs="Times New Roman"/>
          <w:b/>
        </w:rPr>
        <w:t>I</w:t>
      </w:r>
      <w:r w:rsidR="00BE6843">
        <w:rPr>
          <w:rFonts w:ascii="Times New Roman" w:hAnsi="Times New Roman" w:cs="Times New Roman"/>
        </w:rPr>
        <w:t xml:space="preserve"> the identity matrix and</w:t>
      </w:r>
      <w:r>
        <w:rPr>
          <w:rFonts w:ascii="Times New Roman" w:hAnsi="Times New Roman" w:cs="Times New Roman"/>
        </w:rPr>
        <w:t xml:space="preserve"> t is the iteration number.</w:t>
      </w:r>
    </w:p>
    <w:p w14:paraId="26644AF6" w14:textId="77777777" w:rsidR="00F21534" w:rsidRPr="008077EE" w:rsidRDefault="00F21534" w:rsidP="00F21534">
      <w:pPr>
        <w:pStyle w:val="ListParagraph"/>
        <w:widowControl w:val="0"/>
        <w:numPr>
          <w:ilvl w:val="0"/>
          <w:numId w:val="1"/>
        </w:numPr>
        <w:autoSpaceDE w:val="0"/>
        <w:autoSpaceDN w:val="0"/>
        <w:adjustRightInd w:val="0"/>
        <w:spacing w:after="240"/>
        <w:ind w:left="142" w:firstLine="0"/>
        <w:rPr>
          <w:rFonts w:ascii="MS Mincho" w:eastAsia="MS Mincho" w:hAnsi="MS Mincho" w:cs="MS Mincho"/>
        </w:rPr>
      </w:pPr>
      <w:r w:rsidRPr="008077EE">
        <w:rPr>
          <w:rFonts w:ascii="Times New Roman" w:hAnsi="Times New Roman" w:cs="Times New Roman"/>
        </w:rPr>
        <w:t xml:space="preserve">Calculate </w:t>
      </w:r>
      <w:r w:rsidRPr="008077EE">
        <w:rPr>
          <w:rFonts w:ascii="Times New Roman" w:hAnsi="Times New Roman" w:cs="Times New Roman"/>
          <w:b/>
        </w:rPr>
        <w:t>G</w:t>
      </w:r>
      <w:r w:rsidRPr="008077EE">
        <w:rPr>
          <w:rFonts w:ascii="Times New Roman" w:hAnsi="Times New Roman" w:cs="Times New Roman"/>
          <w:b/>
          <w:vertAlign w:val="superscript"/>
        </w:rPr>
        <w:t>*</w:t>
      </w:r>
      <w:r w:rsidRPr="008077EE">
        <w:rPr>
          <w:rFonts w:ascii="Times New Roman" w:hAnsi="Times New Roman" w:cs="Times New Roman"/>
        </w:rPr>
        <w:t>.</w:t>
      </w:r>
      <w:r w:rsidRPr="008077EE">
        <w:rPr>
          <w:rFonts w:ascii="MS Mincho" w:eastAsia="MS Mincho" w:hAnsi="MS Mincho" w:cs="MS Mincho"/>
        </w:rPr>
        <w:t> </w:t>
      </w:r>
    </w:p>
    <w:p w14:paraId="709C8FB0" w14:textId="77777777" w:rsidR="00F21534" w:rsidRPr="008077EE" w:rsidRDefault="00F21534" w:rsidP="00F21534">
      <w:pPr>
        <w:pStyle w:val="ListParagraph"/>
        <w:widowControl w:val="0"/>
        <w:numPr>
          <w:ilvl w:val="0"/>
          <w:numId w:val="1"/>
        </w:numPr>
        <w:autoSpaceDE w:val="0"/>
        <w:autoSpaceDN w:val="0"/>
        <w:adjustRightInd w:val="0"/>
        <w:spacing w:after="240"/>
        <w:ind w:left="142" w:firstLine="0"/>
        <w:rPr>
          <w:rFonts w:ascii="MS Mincho" w:eastAsia="MS Mincho" w:hAnsi="MS Mincho" w:cs="MS Mincho"/>
        </w:rPr>
      </w:pPr>
      <w:r>
        <w:rPr>
          <w:rFonts w:ascii="Times New Roman" w:hAnsi="Times New Roman" w:cs="Times New Roman"/>
        </w:rPr>
        <w:t>Estimate</w:t>
      </w:r>
      <w:r w:rsidRPr="008077EE">
        <w:rPr>
          <w:rFonts w:ascii="Times New Roman" w:hAnsi="Times New Roman" w:cs="Times New Roman"/>
        </w:rPr>
        <w:t xml:space="preserve"> GE</w:t>
      </w:r>
      <w:r>
        <w:rPr>
          <w:rFonts w:ascii="Times New Roman" w:hAnsi="Times New Roman" w:cs="Times New Roman"/>
        </w:rPr>
        <w:t xml:space="preserve">BVs using </w:t>
      </w:r>
      <w:r w:rsidRPr="008077EE">
        <w:rPr>
          <w:rFonts w:ascii="Times New Roman" w:hAnsi="Times New Roman" w:cs="Times New Roman"/>
        </w:rPr>
        <w:t>GBLUP.</w:t>
      </w:r>
      <w:r w:rsidRPr="008077EE">
        <w:rPr>
          <w:rFonts w:ascii="MS Mincho" w:eastAsia="MS Mincho" w:hAnsi="MS Mincho" w:cs="MS Mincho"/>
        </w:rPr>
        <w:t> </w:t>
      </w:r>
    </w:p>
    <w:p w14:paraId="4141485A" w14:textId="77777777" w:rsidR="00F21534" w:rsidRPr="00477550" w:rsidRDefault="00F21534" w:rsidP="00F21534">
      <w:pPr>
        <w:pStyle w:val="ListParagraph"/>
        <w:widowControl w:val="0"/>
        <w:numPr>
          <w:ilvl w:val="0"/>
          <w:numId w:val="1"/>
        </w:numPr>
        <w:autoSpaceDE w:val="0"/>
        <w:autoSpaceDN w:val="0"/>
        <w:adjustRightInd w:val="0"/>
        <w:spacing w:after="240"/>
        <w:ind w:left="709" w:hanging="567"/>
        <w:rPr>
          <w:rFonts w:ascii="Times New Roman" w:hAnsi="Times New Roman" w:cs="Times New Roman"/>
        </w:rPr>
      </w:pPr>
      <w:r w:rsidRPr="00477550">
        <w:rPr>
          <w:rFonts w:ascii="Times New Roman" w:hAnsi="Times New Roman" w:cs="Times New Roman"/>
        </w:rPr>
        <w:t>Estimate SNP effects from GEBVs :</w:t>
      </w:r>
      <w:r w:rsidRPr="00477550">
        <w:rPr>
          <w:rFonts w:ascii="Times New Roman" w:hAnsi="Times New Roman" w:cs="Times New Roman"/>
          <w:b/>
        </w:rPr>
        <w:t xml:space="preserve"> </w:t>
      </w:r>
      <m:oMath>
        <m:acc>
          <m:accPr>
            <m:ctrlPr>
              <w:rPr>
                <w:rFonts w:ascii="Cambria Math" w:hAnsi="Cambria Math" w:cs="Times New Roman"/>
                <w:b/>
              </w:rPr>
            </m:ctrlPr>
          </m:accPr>
          <m:e>
            <m:r>
              <m:rPr>
                <m:sty m:val="b"/>
              </m:rPr>
              <w:rPr>
                <w:rFonts w:ascii="Cambria Math" w:hAnsi="Cambria Math" w:cs="Times New Roman"/>
              </w:rPr>
              <m:t>u</m:t>
            </m:r>
          </m:e>
        </m:acc>
        <m:r>
          <w:rPr>
            <w:rFonts w:ascii="Cambria Math" w:hAnsi="Cambria Math" w:cs="Times New Roman"/>
          </w:rPr>
          <m:t>=</m:t>
        </m:r>
        <m:r>
          <m:rPr>
            <m:sty m:val="b"/>
          </m:rPr>
          <w:rPr>
            <w:rFonts w:ascii="Cambria Math" w:hAnsi="Cambria Math" w:cs="Times New Roman"/>
          </w:rPr>
          <m:t>qDZ'</m:t>
        </m:r>
        <m:sSup>
          <m:sSupPr>
            <m:ctrlPr>
              <w:rPr>
                <w:rFonts w:ascii="Cambria Math" w:hAnsi="Cambria Math" w:cs="Times New Roman"/>
                <w:b/>
              </w:rPr>
            </m:ctrlPr>
          </m:sSupPr>
          <m:e>
            <m:r>
              <m:rPr>
                <m:sty m:val="bi"/>
              </m:rPr>
              <w:rPr>
                <w:rFonts w:ascii="Cambria Math" w:hAnsi="Cambria Math" w:cs="Times New Roman"/>
              </w:rPr>
              <m:t>G</m:t>
            </m:r>
          </m:e>
          <m:sup>
            <m:r>
              <m:rPr>
                <m:sty m:val="bi"/>
              </m:rPr>
              <w:rPr>
                <w:rFonts w:ascii="Cambria Math" w:hAnsi="Cambria Math" w:cs="Times New Roman"/>
              </w:rPr>
              <m:t>*</m:t>
            </m:r>
          </m:sup>
        </m:sSup>
        <m:acc>
          <m:accPr>
            <m:ctrlPr>
              <w:rPr>
                <w:rFonts w:ascii="Cambria Math" w:hAnsi="Cambria Math" w:cs="Times New Roman"/>
                <w:b/>
              </w:rPr>
            </m:ctrlPr>
          </m:accPr>
          <m:e>
            <m:r>
              <m:rPr>
                <m:sty m:val="b"/>
              </m:rPr>
              <w:rPr>
                <w:rFonts w:ascii="Cambria Math" w:hAnsi="Cambria Math" w:cs="Times New Roman"/>
                <w:lang w:val="el-GR"/>
              </w:rPr>
              <m:t>α</m:t>
            </m:r>
            <m:ctrlPr>
              <w:rPr>
                <w:rFonts w:ascii="Cambria Math" w:hAnsi="Cambria Math" w:cs="Times New Roman"/>
                <w:b/>
                <w:iCs/>
              </w:rPr>
            </m:ctrlPr>
          </m:e>
        </m:acc>
      </m:oMath>
      <w:r w:rsidRPr="00477550">
        <w:rPr>
          <w:rFonts w:ascii="Times New Roman" w:eastAsiaTheme="minorEastAsia" w:hAnsi="Times New Roman" w:cs="Times New Roman"/>
          <w:b/>
          <w:iCs/>
        </w:rPr>
        <w:t xml:space="preserve"> </w:t>
      </w:r>
      <w:r>
        <w:rPr>
          <w:rFonts w:ascii="Times New Roman" w:eastAsiaTheme="minorEastAsia" w:hAnsi="Times New Roman" w:cs="Times New Roman"/>
          <w:iCs/>
        </w:rPr>
        <w:t xml:space="preserve">, </w:t>
      </w:r>
      <w:r w:rsidRPr="00477550">
        <w:rPr>
          <w:rFonts w:ascii="Times New Roman" w:hAnsi="Times New Roman" w:cs="Times New Roman"/>
        </w:rPr>
        <w:t>where</w:t>
      </w:r>
      <w:r>
        <w:rPr>
          <w:rFonts w:ascii="Times New Roman" w:hAnsi="Times New Roman" w:cs="Times New Roman"/>
        </w:rPr>
        <w:t xml:space="preserve"> </w:t>
      </w:r>
      <m:oMath>
        <m:acc>
          <m:accPr>
            <m:ctrlPr>
              <w:rPr>
                <w:rFonts w:ascii="Cambria Math" w:hAnsi="Cambria Math" w:cs="Times New Roman"/>
                <w:b/>
              </w:rPr>
            </m:ctrlPr>
          </m:accPr>
          <m:e>
            <m:r>
              <m:rPr>
                <m:sty m:val="b"/>
              </m:rPr>
              <w:rPr>
                <w:rFonts w:ascii="Cambria Math" w:hAnsi="Cambria Math" w:cs="Times New Roman"/>
                <w:lang w:val="el-GR"/>
              </w:rPr>
              <m:t>α</m:t>
            </m:r>
            <m:ctrlPr>
              <w:rPr>
                <w:rFonts w:ascii="Cambria Math" w:hAnsi="Cambria Math" w:cs="Times New Roman"/>
                <w:b/>
                <w:iCs/>
              </w:rPr>
            </m:ctrlPr>
          </m:e>
        </m:acc>
      </m:oMath>
      <w:r w:rsidRPr="00477550">
        <w:rPr>
          <w:rFonts w:ascii="Times New Roman" w:eastAsiaTheme="minorEastAsia" w:hAnsi="Times New Roman" w:cs="Times New Roman"/>
          <w:b/>
          <w:iCs/>
        </w:rPr>
        <w:t xml:space="preserve"> </w:t>
      </w:r>
      <w:r w:rsidR="00BE6843">
        <w:rPr>
          <w:rFonts w:ascii="Times New Roman" w:eastAsiaTheme="minorEastAsia" w:hAnsi="Times New Roman" w:cs="Times New Roman"/>
          <w:iCs/>
        </w:rPr>
        <w:t>the vector of</w:t>
      </w:r>
      <w:r w:rsidRPr="00477550">
        <w:rPr>
          <w:rFonts w:ascii="Times New Roman" w:hAnsi="Times New Roman" w:cs="Times New Roman"/>
        </w:rPr>
        <w:t xml:space="preserve"> </w:t>
      </w:r>
      <w:r>
        <w:rPr>
          <w:rFonts w:ascii="Times New Roman" w:hAnsi="Times New Roman" w:cs="Times New Roman"/>
        </w:rPr>
        <w:t>GEBVs</w:t>
      </w:r>
    </w:p>
    <w:p w14:paraId="00817074" w14:textId="77777777" w:rsidR="00F21534" w:rsidRPr="008077EE" w:rsidRDefault="00F21534" w:rsidP="00F21534">
      <w:pPr>
        <w:pStyle w:val="ListParagraph"/>
        <w:widowControl w:val="0"/>
        <w:numPr>
          <w:ilvl w:val="0"/>
          <w:numId w:val="1"/>
        </w:numPr>
        <w:autoSpaceDE w:val="0"/>
        <w:autoSpaceDN w:val="0"/>
        <w:adjustRightInd w:val="0"/>
        <w:spacing w:after="240"/>
        <w:ind w:left="709" w:hanging="567"/>
        <w:rPr>
          <w:rFonts w:ascii="MS Mincho" w:eastAsia="MS Mincho" w:hAnsi="MS Mincho" w:cs="MS Mincho"/>
        </w:rPr>
      </w:pPr>
      <w:r w:rsidRPr="008077EE">
        <w:rPr>
          <w:rFonts w:ascii="Times New Roman" w:hAnsi="Times New Roman" w:cs="Times New Roman"/>
        </w:rPr>
        <w:t xml:space="preserve">Calculate </w:t>
      </w:r>
      <w:r w:rsidR="00BA0E34">
        <w:rPr>
          <w:rFonts w:ascii="Times New Roman" w:hAnsi="Times New Roman" w:cs="Times New Roman"/>
        </w:rPr>
        <w:t xml:space="preserve">the </w:t>
      </w:r>
      <w:r w:rsidRPr="008077EE">
        <w:rPr>
          <w:rFonts w:ascii="Times New Roman" w:hAnsi="Times New Roman" w:cs="Times New Roman"/>
        </w:rPr>
        <w:t xml:space="preserve">weight for each SNP: </w:t>
      </w:r>
      <m:oMath>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ii</m:t>
            </m:r>
          </m:sub>
          <m:sup>
            <m:r>
              <w:rPr>
                <w:rFonts w:ascii="Cambria Math" w:hAnsi="Cambria Math" w:cs="Times New Roman"/>
              </w:rPr>
              <m:t>(t+1)</m:t>
            </m:r>
          </m:sup>
        </m:sSubSup>
      </m:oMath>
      <w:r w:rsidRPr="008077EE">
        <w:rPr>
          <w:rFonts w:ascii="Times New Roman" w:hAnsi="Times New Roman" w:cs="Times New Roman"/>
        </w:rPr>
        <w:t xml:space="preserve">= </w:t>
      </w:r>
      <m:oMath>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i</m:t>
                    </m:r>
                  </m:sub>
                  <m:sup>
                    <m:r>
                      <w:rPr>
                        <w:rFonts w:ascii="Cambria Math" w:hAnsi="Cambria Math" w:cs="Times New Roman"/>
                      </w:rPr>
                      <m:t>2</m:t>
                    </m:r>
                  </m:sup>
                </m:sSubSup>
              </m:e>
            </m:nary>
          </m:num>
          <m:den>
            <m:r>
              <w:rPr>
                <w:rFonts w:ascii="Cambria Math" w:hAnsi="Cambria Math" w:cs="Times New Roman"/>
              </w:rPr>
              <m:t>n</m:t>
            </m:r>
          </m:den>
        </m:f>
      </m:oMath>
      <w:r>
        <w:rPr>
          <w:rFonts w:ascii="Times New Roman" w:eastAsiaTheme="minorEastAsia" w:hAnsi="Times New Roman" w:cs="Times New Roman"/>
        </w:rPr>
        <w:t>, where n is the size of the non-overlapping window.</w:t>
      </w:r>
    </w:p>
    <w:p w14:paraId="00C3B7C2" w14:textId="77777777" w:rsidR="00F21534" w:rsidRPr="008077EE" w:rsidRDefault="00F21534" w:rsidP="00F21534">
      <w:pPr>
        <w:pStyle w:val="ListParagraph"/>
        <w:widowControl w:val="0"/>
        <w:numPr>
          <w:ilvl w:val="0"/>
          <w:numId w:val="1"/>
        </w:numPr>
        <w:autoSpaceDE w:val="0"/>
        <w:autoSpaceDN w:val="0"/>
        <w:adjustRightInd w:val="0"/>
        <w:spacing w:after="240"/>
        <w:ind w:left="142" w:firstLine="0"/>
        <w:rPr>
          <w:rFonts w:ascii="MS Mincho" w:eastAsia="MS Mincho" w:hAnsi="MS Mincho" w:cs="MS Mincho"/>
        </w:rPr>
      </w:pPr>
      <w:r w:rsidRPr="008077EE">
        <w:rPr>
          <w:rFonts w:ascii="Times New Roman" w:hAnsi="Times New Roman" w:cs="Times New Roman"/>
        </w:rPr>
        <w:t xml:space="preserve">Normalize SNP weights </w:t>
      </w:r>
      <w:r>
        <w:rPr>
          <w:rFonts w:ascii="Times New Roman" w:hAnsi="Times New Roman" w:cs="Times New Roman"/>
        </w:rPr>
        <w:t>so</w:t>
      </w:r>
      <w:r w:rsidRPr="008077EE">
        <w:rPr>
          <w:rFonts w:ascii="Times New Roman" w:hAnsi="Times New Roman" w:cs="Times New Roman"/>
        </w:rPr>
        <w:t xml:space="preserve"> the total genetic variance </w:t>
      </w:r>
      <w:r>
        <w:rPr>
          <w:rFonts w:ascii="Times New Roman" w:hAnsi="Times New Roman" w:cs="Times New Roman"/>
        </w:rPr>
        <w:t xml:space="preserve">remains </w:t>
      </w:r>
      <w:r w:rsidRPr="008077EE">
        <w:rPr>
          <w:rFonts w:ascii="Times New Roman" w:hAnsi="Times New Roman" w:cs="Times New Roman"/>
        </w:rPr>
        <w:t>constant.</w:t>
      </w:r>
      <w:r w:rsidRPr="008077EE">
        <w:rPr>
          <w:rFonts w:ascii="MS Mincho" w:eastAsia="MS Mincho" w:hAnsi="MS Mincho" w:cs="MS Mincho"/>
        </w:rPr>
        <w:t> </w:t>
      </w:r>
    </w:p>
    <w:p w14:paraId="6F6D47FF" w14:textId="77777777" w:rsidR="00F21534" w:rsidRPr="008077EE" w:rsidRDefault="00F21534" w:rsidP="00F21534">
      <w:pPr>
        <w:pStyle w:val="ListParagraph"/>
        <w:widowControl w:val="0"/>
        <w:numPr>
          <w:ilvl w:val="0"/>
          <w:numId w:val="1"/>
        </w:numPr>
        <w:autoSpaceDE w:val="0"/>
        <w:autoSpaceDN w:val="0"/>
        <w:adjustRightInd w:val="0"/>
        <w:spacing w:after="240"/>
        <w:ind w:left="142" w:firstLine="0"/>
        <w:rPr>
          <w:rFonts w:ascii="Times New Roman" w:hAnsi="Times New Roman" w:cs="Times New Roman"/>
        </w:rPr>
      </w:pPr>
      <w:r w:rsidRPr="008077EE">
        <w:rPr>
          <w:rFonts w:ascii="Times New Roman" w:hAnsi="Times New Roman" w:cs="Times New Roman"/>
        </w:rPr>
        <w:t xml:space="preserve">Loop to step </w:t>
      </w:r>
      <w:r w:rsidR="00BA0E34">
        <w:rPr>
          <w:rFonts w:ascii="Times New Roman" w:hAnsi="Times New Roman" w:cs="Times New Roman"/>
        </w:rPr>
        <w:t>d)</w:t>
      </w:r>
      <w:r w:rsidRPr="008077EE">
        <w:rPr>
          <w:rFonts w:ascii="Times New Roman" w:hAnsi="Times New Roman" w:cs="Times New Roman"/>
        </w:rPr>
        <w:t xml:space="preserve"> </w:t>
      </w:r>
      <w:r w:rsidR="0073491F">
        <w:rPr>
          <w:rFonts w:ascii="Times New Roman" w:hAnsi="Times New Roman" w:cs="Times New Roman"/>
        </w:rPr>
        <w:t>(</w:t>
      </w:r>
      <w:r w:rsidR="005829BF">
        <w:rPr>
          <w:rFonts w:ascii="Times New Roman" w:hAnsi="Times New Roman" w:cs="Times New Roman"/>
        </w:rPr>
        <w:t xml:space="preserve">1 or </w:t>
      </w:r>
      <w:r w:rsidR="0073491F">
        <w:rPr>
          <w:rFonts w:ascii="Times New Roman" w:hAnsi="Times New Roman" w:cs="Times New Roman"/>
        </w:rPr>
        <w:t>3</w:t>
      </w:r>
      <w:r>
        <w:rPr>
          <w:rFonts w:ascii="Times New Roman" w:hAnsi="Times New Roman" w:cs="Times New Roman"/>
        </w:rPr>
        <w:t xml:space="preserve"> iterations).</w:t>
      </w:r>
      <w:r w:rsidRPr="008077EE">
        <w:rPr>
          <w:rFonts w:ascii="Times New Roman" w:hAnsi="Times New Roman" w:cs="Times New Roman"/>
        </w:rPr>
        <w:t xml:space="preserve">  </w:t>
      </w:r>
    </w:p>
    <w:p w14:paraId="4E6FE1A8" w14:textId="77777777" w:rsidR="00F21534" w:rsidRDefault="00F21534" w:rsidP="00F21534">
      <w:pPr>
        <w:spacing w:line="480" w:lineRule="auto"/>
      </w:pPr>
      <w:r>
        <w:t>Percentage of additive genetic variance was estimated by non-overlapping windows of 10 adjacent SNPs as follows:</w:t>
      </w:r>
    </w:p>
    <w:p w14:paraId="3530B76F" w14:textId="77777777" w:rsidR="00F21534" w:rsidRDefault="00F21534" w:rsidP="00F21534"/>
    <w:p w14:paraId="28F9E927" w14:textId="77777777" w:rsidR="00F21534" w:rsidRDefault="00342E54" w:rsidP="00F21534">
      <w:pPr>
        <w:rPr>
          <w:rFonts w:eastAsiaTheme="minorEastAsia"/>
          <w:i/>
          <w:sz w:val="28"/>
          <w:szCs w:val="28"/>
        </w:rPr>
      </w:pPr>
      <m:oMath>
        <m:f>
          <m:fPr>
            <m:ctrlPr>
              <w:rPr>
                <w:rFonts w:ascii="Cambria Math" w:hAnsi="Cambria Math"/>
                <w:sz w:val="28"/>
                <w:szCs w:val="28"/>
              </w:rPr>
            </m:ctrlPr>
          </m:fPr>
          <m:num>
            <m:r>
              <m:rPr>
                <m:sty m:val="p"/>
              </m:rPr>
              <w:rPr>
                <w:rFonts w:ascii="Cambria Math" w:hAnsi="Cambria Math"/>
                <w:sz w:val="28"/>
                <w:szCs w:val="28"/>
              </w:rPr>
              <m:t>Var(</m:t>
            </m:r>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 xml:space="preserve">i  </m:t>
                </m:r>
              </m:sub>
            </m:sSub>
            <m:r>
              <m:rPr>
                <m:sty m:val="p"/>
              </m:rPr>
              <w:rPr>
                <w:rFonts w:ascii="Cambria Math" w:hAnsi="Cambria Math"/>
                <w:sz w:val="28"/>
                <w:szCs w:val="28"/>
              </w:rPr>
              <m:t>)</m:t>
            </m:r>
          </m:num>
          <m:den>
            <m:sSubSup>
              <m:sSubSupPr>
                <m:ctrlPr>
                  <w:rPr>
                    <w:rFonts w:ascii="Cambria Math" w:hAnsi="Cambria Math"/>
                    <w:sz w:val="28"/>
                    <w:szCs w:val="28"/>
                  </w:rPr>
                </m:ctrlPr>
              </m:sSubSupPr>
              <m:e>
                <m:r>
                  <m:rPr>
                    <m:sty m:val="p"/>
                  </m:rPr>
                  <w:rPr>
                    <w:rFonts w:ascii="Cambria Math" w:hAnsi="Cambria Math"/>
                    <w:sz w:val="28"/>
                    <w:szCs w:val="28"/>
                    <w:lang w:val="el-GR"/>
                  </w:rPr>
                  <m:t>σ</m:t>
                </m:r>
              </m:e>
              <m:sub>
                <m:r>
                  <m:rPr>
                    <m:sty m:val="p"/>
                  </m:rPr>
                  <w:rPr>
                    <w:rFonts w:ascii="Cambria Math" w:hAnsi="Cambria Math"/>
                    <w:sz w:val="28"/>
                    <w:szCs w:val="28"/>
                  </w:rPr>
                  <m:t>α</m:t>
                </m:r>
              </m:sub>
              <m:sup>
                <m:r>
                  <m:rPr>
                    <m:sty m:val="p"/>
                  </m:rPr>
                  <w:rPr>
                    <w:rFonts w:ascii="Cambria Math" w:hAnsi="Cambria Math"/>
                    <w:sz w:val="28"/>
                    <w:szCs w:val="28"/>
                  </w:rPr>
                  <m:t>2</m:t>
                </m:r>
              </m:sup>
            </m:sSubSup>
          </m:den>
        </m:f>
      </m:oMath>
      <w:r w:rsidR="00F21534" w:rsidRPr="0039552C">
        <w:rPr>
          <w:rFonts w:eastAsiaTheme="minorEastAsia"/>
          <w:i/>
          <w:sz w:val="28"/>
          <w:szCs w:val="28"/>
        </w:rPr>
        <w:t xml:space="preserve"> </w:t>
      </w:r>
      <m:oMath>
        <m:r>
          <w:rPr>
            <w:rFonts w:ascii="Cambria Math" w:eastAsiaTheme="minorEastAsia" w:hAnsi="Cambria Math"/>
            <w:sz w:val="28"/>
            <w:szCs w:val="28"/>
          </w:rPr>
          <m:t xml:space="preserve">× 100%=  </m:t>
        </m:r>
        <m:f>
          <m:fPr>
            <m:ctrlPr>
              <w:rPr>
                <w:rFonts w:ascii="Cambria Math" w:eastAsiaTheme="minorEastAsia" w:hAnsi="Cambria Math"/>
                <w:i/>
                <w:sz w:val="28"/>
                <w:szCs w:val="28"/>
              </w:rPr>
            </m:ctrlPr>
          </m:fPr>
          <m:num>
            <m:r>
              <m:rPr>
                <m:sty m:val="p"/>
              </m:rPr>
              <w:rPr>
                <w:rFonts w:ascii="Cambria Math" w:eastAsiaTheme="minorEastAsia" w:hAnsi="Cambria Math"/>
                <w:sz w:val="28"/>
                <w:szCs w:val="28"/>
              </w:rPr>
              <m:t>Var(</m:t>
            </m:r>
            <m:nary>
              <m:naryPr>
                <m:chr m:val="∑"/>
                <m:limLoc m:val="undOvr"/>
                <m:ctrlPr>
                  <w:rPr>
                    <w:rFonts w:ascii="Cambria Math" w:eastAsiaTheme="minorEastAsia" w:hAnsi="Cambria Math"/>
                    <w:sz w:val="28"/>
                    <w:szCs w:val="28"/>
                  </w:rPr>
                </m:ctrlPr>
              </m:naryPr>
              <m:sub>
                <m:r>
                  <m:rPr>
                    <m:sty m:val="p"/>
                  </m:rPr>
                  <w:rPr>
                    <w:rFonts w:ascii="Cambria Math" w:eastAsiaTheme="minorEastAsia" w:hAnsi="Cambria Math"/>
                    <w:sz w:val="28"/>
                    <w:szCs w:val="28"/>
                  </w:rPr>
                  <m:t>i</m:t>
                </m:r>
              </m:sub>
              <m:sup>
                <m:r>
                  <m:rPr>
                    <m:sty m:val="p"/>
                  </m:rPr>
                  <w:rPr>
                    <w:rFonts w:ascii="Cambria Math" w:eastAsiaTheme="minorEastAsia" w:hAnsi="Cambria Math"/>
                    <w:sz w:val="28"/>
                    <w:szCs w:val="28"/>
                  </w:rPr>
                  <m:t>i=10</m:t>
                </m:r>
              </m:sup>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z</m:t>
                    </m:r>
                  </m:e>
                  <m:sub>
                    <m:r>
                      <m:rPr>
                        <m:sty m:val="p"/>
                      </m:rPr>
                      <w:rPr>
                        <w:rFonts w:ascii="Cambria Math" w:eastAsiaTheme="minorEastAsia" w:hAnsi="Cambria Math"/>
                        <w:sz w:val="28"/>
                        <w:szCs w:val="28"/>
                      </w:rPr>
                      <m:t xml:space="preserve">i </m:t>
                    </m:r>
                  </m:sub>
                </m:sSub>
                <m:r>
                  <m:rPr>
                    <m:sty m:val="p"/>
                  </m:rPr>
                  <w:rPr>
                    <w:rFonts w:ascii="Cambria Math" w:eastAsiaTheme="minorEastAsia" w:hAnsi="Cambria Math"/>
                    <w:sz w:val="28"/>
                    <w:szCs w:val="28"/>
                  </w:rPr>
                  <m:t xml:space="preserve"> </m:t>
                </m:r>
                <m:acc>
                  <m:accPr>
                    <m:ctrlPr>
                      <w:rPr>
                        <w:rFonts w:ascii="Cambria Math" w:eastAsiaTheme="minorEastAsia" w:hAnsi="Cambria Math"/>
                        <w:sz w:val="28"/>
                        <w:szCs w:val="28"/>
                      </w:rPr>
                    </m:ctrlPr>
                  </m:accPr>
                  <m:e>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u</m:t>
                        </m:r>
                      </m:e>
                      <m:sub>
                        <m:r>
                          <m:rPr>
                            <m:sty m:val="p"/>
                          </m:rPr>
                          <w:rPr>
                            <w:rFonts w:ascii="Cambria Math" w:eastAsiaTheme="minorEastAsia" w:hAnsi="Cambria Math"/>
                            <w:sz w:val="28"/>
                            <w:szCs w:val="28"/>
                          </w:rPr>
                          <m:t xml:space="preserve">i </m:t>
                        </m:r>
                      </m:sub>
                    </m:sSub>
                  </m:e>
                </m:acc>
              </m:e>
            </m:nary>
            <m:r>
              <m:rPr>
                <m:sty m:val="p"/>
              </m:rPr>
              <w:rPr>
                <w:rFonts w:ascii="Cambria Math" w:eastAsiaTheme="minorEastAsia" w:hAnsi="Cambria Math"/>
                <w:sz w:val="28"/>
                <w:szCs w:val="28"/>
              </w:rPr>
              <m:t>)</m:t>
            </m:r>
          </m:num>
          <m:den>
            <m:sSubSup>
              <m:sSubSupPr>
                <m:ctrlPr>
                  <w:rPr>
                    <w:rFonts w:ascii="Cambria Math" w:eastAsiaTheme="minorEastAsia" w:hAnsi="Cambria Math"/>
                    <w:i/>
                    <w:sz w:val="28"/>
                    <w:szCs w:val="28"/>
                  </w:rPr>
                </m:ctrlPr>
              </m:sSubSupPr>
              <m:e>
                <m:r>
                  <w:rPr>
                    <w:rFonts w:ascii="Cambria Math" w:eastAsiaTheme="minorEastAsia" w:hAnsi="Cambria Math"/>
                    <w:sz w:val="28"/>
                    <w:szCs w:val="28"/>
                    <w:lang w:val="el-GR"/>
                  </w:rPr>
                  <m:t>σ</m:t>
                </m:r>
              </m:e>
              <m:sub>
                <m:r>
                  <w:rPr>
                    <w:rFonts w:ascii="Cambria Math" w:eastAsiaTheme="minorEastAsia" w:hAnsi="Cambria Math"/>
                    <w:sz w:val="28"/>
                    <w:szCs w:val="28"/>
                  </w:rPr>
                  <m:t>α</m:t>
                </m:r>
              </m:sub>
              <m:sup>
                <m:r>
                  <w:rPr>
                    <w:rFonts w:ascii="Cambria Math" w:eastAsiaTheme="minorEastAsia" w:hAnsi="Cambria Math"/>
                    <w:sz w:val="28"/>
                    <w:szCs w:val="28"/>
                  </w:rPr>
                  <m:t>2</m:t>
                </m:r>
              </m:sup>
            </m:sSubSup>
          </m:den>
        </m:f>
        <m:r>
          <w:rPr>
            <w:rFonts w:ascii="Cambria Math" w:eastAsiaTheme="minorEastAsia" w:hAnsi="Cambria Math"/>
            <w:sz w:val="28"/>
            <w:szCs w:val="28"/>
          </w:rPr>
          <m:t xml:space="preserve"> × 100%</m:t>
        </m:r>
      </m:oMath>
    </w:p>
    <w:p w14:paraId="1672501E" w14:textId="77777777" w:rsidR="00F21534" w:rsidRPr="003B02EA" w:rsidRDefault="00F21534" w:rsidP="00F21534">
      <w:pPr>
        <w:rPr>
          <w:i/>
          <w:sz w:val="28"/>
          <w:szCs w:val="28"/>
          <w:lang w:val="en-GB"/>
        </w:rPr>
      </w:pPr>
    </w:p>
    <w:p w14:paraId="3A78454C" w14:textId="77777777" w:rsidR="00A960D1" w:rsidRDefault="00BA0E34" w:rsidP="00F21534">
      <w:pPr>
        <w:pStyle w:val="BodyText"/>
        <w:spacing w:line="480" w:lineRule="auto"/>
      </w:pPr>
      <w:r>
        <w:t xml:space="preserve">The weighted GBLUP analyses </w:t>
      </w:r>
      <w:r w:rsidR="00F21534">
        <w:t>w</w:t>
      </w:r>
      <w:r>
        <w:t>ere</w:t>
      </w:r>
      <w:r w:rsidR="00F21534">
        <w:t xml:space="preserve"> performed using THRGIBBSF90 for estimating DGVs </w:t>
      </w:r>
      <w:r w:rsidR="006D1A44">
        <w:fldChar w:fldCharType="begin" w:fldLock="1"/>
      </w:r>
      <w:r w:rsidR="00C242BD">
        <w:instrText>ADDIN CSL_CITATION { "citationItems" : [ { "id" : "ITEM-1", "itemData" : { "DOI" : "9782738010520", "ISBN" : "978-2-7380-1052-0", "abstract" : "The package is a collection of library and application programs useful for animal breeding, all written in Fortran 90 or 95. Library modules exist for sparse matrix operations including sparse matrix factorization and inversion, dense matrix operations, probability, and fast I/O. Module functions/procedures use overloading and optional parameters to reduce complexity of programming. Applications include BLUP, REML, Method R, Gibbs samplers, and threshold models. Supported models include multitrait with support for random regressions, maternal effects, and dominance. Iteration-on-data programs are suitable for national genetic evaluation. More information can be found at http://nce.ads.uga.edu/~ignacy.", "author" : [ { "dropping-particle" : "", "family" : "Misztal", "given" : "I.", "non-dropping-particle" : "", "parse-names" : false, "suffix" : "" }, { "dropping-particle" : "", "family" : "Tsuruta", "given" : "S.", "non-dropping-particle" : "", "parse-names" : false, "suffix" : "" }, { "dropping-particle" : "", "family" : "Strabel", "given" : "T.", "non-dropping-particle" : "", "parse-names" : false, "suffix" : "" }, { "dropping-particle" : "", "family" : "Auvray", "given" : "B.", "non-dropping-particle" : "", "parse-names" : false, "suffix" : "" }, { "dropping-particle" : "", "family" : "Druet", "given" : "T.", "non-dropping-particle" : "", "parse-names" : false, "suffix" : "" }, { "dropping-particle" : "", "family" : "Lee", "given" : "D. H.", "non-dropping-particle" : "", "parse-names" : false, "suffix" : "" } ], "container-title" : "Proceedings of the 7th World Congress on Genetics Applied to Livestock Production", "id" : "ITEM-1", "issued" : { "date-parts" : [ [ "2002" ] ] }, "page" : "21-22", "title" : "BLUPF90 and related programs (BGF90)", "type" : "paper-conference", "volume" : "28" }, "uris" : [ "http://www.mendeley.com/documents/?uuid=fbf97432-8ceb-46e2-9bd8-e013f29646d9", "http://www.mendeley.com/documents/?uuid=ba01e57a-a26d-4c61-9d11-c79607c490ea" ] } ], "mendeley" : { "formattedCitation" : "(Misztal &lt;i&gt;et al.&lt;/i&gt; 2002)", "plainTextFormattedCitation" : "(Misztal et al. 2002)", "previouslyFormattedCitation" : "(Misztal &lt;i&gt;et al.&lt;/i&gt; 2002)" }, "properties" : {  }, "schema" : "https://github.com/citation-style-language/schema/raw/master/csl-citation.json" }</w:instrText>
      </w:r>
      <w:r w:rsidR="006D1A44">
        <w:fldChar w:fldCharType="separate"/>
      </w:r>
      <w:r w:rsidR="00F21534" w:rsidRPr="00FB1078">
        <w:rPr>
          <w:noProof/>
        </w:rPr>
        <w:t xml:space="preserve">(Misztal </w:t>
      </w:r>
      <w:r w:rsidR="00F21534" w:rsidRPr="00FB1078">
        <w:rPr>
          <w:i/>
          <w:noProof/>
        </w:rPr>
        <w:t>et al.</w:t>
      </w:r>
      <w:r w:rsidR="00F21534" w:rsidRPr="00FB1078">
        <w:rPr>
          <w:noProof/>
        </w:rPr>
        <w:t xml:space="preserve"> 2002)</w:t>
      </w:r>
      <w:r w:rsidR="006D1A44">
        <w:fldChar w:fldCharType="end"/>
      </w:r>
      <w:r w:rsidR="00F21534">
        <w:t xml:space="preserve"> combined with </w:t>
      </w:r>
      <w:r w:rsidR="00A207BE">
        <w:t xml:space="preserve">either 1 or 3 </w:t>
      </w:r>
      <w:r w:rsidR="00F21534">
        <w:t xml:space="preserve">iterations of PreGSF90 and PostGSF90 </w:t>
      </w:r>
      <w:r w:rsidR="006D1A44">
        <w:fldChar w:fldCharType="begin" w:fldLock="1"/>
      </w:r>
      <w:r w:rsidR="00C242BD">
        <w:instrText>ADDIN CSL_CITATION { "citationItems" : [ { "id" : "ITEM-1", "itemData" : { "DOI" : "10.1111/j.1439-0388.2010.00912.x", "ISBN" : "0931-2668", "ISSN" : "09312668", "PMID" : "22059575", "abstract" : "Genomic evaluations can be calculated using a unified procedure that combines phenotypic, pedigree and genomic information. Implementation of such a procedure requires the inverse of the relationship matrix based on pedigree and genomic relationships. The objective of this study was to investigate efficient computing options to create relationship matrices based on genomic markers and pedigree information as well as their inverses. SNP maker information was simulated for a panel of 40 K SNPs, with the number of genotyped animals up to 30 000. Matrix multiplication in the computation of the genomic relationship was by a simple 'do' loop, by two optimized versions of the loop, and by a specific matrix multiplication subroutine. Inversion was by a generalized inverse algorithm and by a LAPACK subroutine. With the most efficient choices and parallel processing, creation of matrices for 30 000 animals would take a few hours. Matrices required to implement a unified approach can be computed efficiently. Optimizations can be either by modifications of existing code or by the use of efficient automatic optimizations provided by open source or third-party libraries.", "author" : [ { "dropping-particle" : "", "family" : "Aguilar", "given" : "I.", "non-dropping-particle" : "", "parse-names" : false, "suffix" : "" }, { "dropping-particle" : "", "family" : "Misztal", "given" : "I.", "non-dropping-particle" : "", "parse-names" : false, "suffix" : "" }, { "dropping-particle" : "", "family" : "Legarra", "given" : "A.", "non-dropping-particle" : "", "parse-names" : false, "suffix" : "" }, { "dropping-particle" : "", "family" : "Tsuruta", "given" : "S.", "non-dropping-particle" : "", "parse-names" : false, "suffix" : "" } ], "container-title" : "Journal of Animal Breeding and Genetics", "id" : "ITEM-1", "issue" : "6", "issued" : { "date-parts" : [ [ "2011" ] ] }, "page" : "422-428", "title" : "Efficient computation of the genomic relationship matrix and other matrices used in single-step evaluation", "type" : "article-journal", "volume" : "128" }, "uris" : [ "http://www.mendeley.com/documents/?uuid=09861814-e6de-495c-96df-b88185fda128", "http://www.mendeley.com/documents/?uuid=92e32af3-c2b1-4559-a6a7-1ec9ababc609" ] } ], "mendeley" : { "formattedCitation" : "(Aguilar &lt;i&gt;et al.&lt;/i&gt; 2011)", "plainTextFormattedCitation" : "(Aguilar et al. 2011)", "previouslyFormattedCitation" : "(Aguilar &lt;i&gt;et al.&lt;/i&gt; 2011)" }, "properties" : {  }, "schema" : "https://github.com/citation-style-language/schema/raw/master/csl-citation.json" }</w:instrText>
      </w:r>
      <w:r w:rsidR="006D1A44">
        <w:fldChar w:fldCharType="separate"/>
      </w:r>
      <w:r w:rsidR="00F21534" w:rsidRPr="00FB1078">
        <w:rPr>
          <w:noProof/>
        </w:rPr>
        <w:t xml:space="preserve">(Aguilar </w:t>
      </w:r>
      <w:r w:rsidR="00F21534" w:rsidRPr="00FB1078">
        <w:rPr>
          <w:i/>
          <w:noProof/>
        </w:rPr>
        <w:t>et al.</w:t>
      </w:r>
      <w:r w:rsidR="00F21534" w:rsidRPr="00FB1078">
        <w:rPr>
          <w:noProof/>
        </w:rPr>
        <w:t xml:space="preserve"> 2011)</w:t>
      </w:r>
      <w:r w:rsidR="006D1A44">
        <w:fldChar w:fldCharType="end"/>
      </w:r>
      <w:r w:rsidR="00F21534">
        <w:t>.</w:t>
      </w:r>
    </w:p>
    <w:p w14:paraId="33074981" w14:textId="77777777" w:rsidR="009E3A3F" w:rsidRDefault="009E3A3F" w:rsidP="00F21534">
      <w:pPr>
        <w:pStyle w:val="BodyText"/>
        <w:spacing w:line="480" w:lineRule="auto"/>
        <w:rPr>
          <w:b/>
        </w:rPr>
      </w:pPr>
    </w:p>
    <w:p w14:paraId="399BABFC" w14:textId="77777777" w:rsidR="00F170FF" w:rsidRDefault="009E3A3F" w:rsidP="00F21534">
      <w:pPr>
        <w:pStyle w:val="BodyText"/>
        <w:spacing w:line="480" w:lineRule="auto"/>
        <w:rPr>
          <w:b/>
        </w:rPr>
      </w:pPr>
      <w:r>
        <w:rPr>
          <w:b/>
        </w:rPr>
        <w:t xml:space="preserve">Pooled </w:t>
      </w:r>
      <w:r w:rsidR="00025050">
        <w:rPr>
          <w:b/>
        </w:rPr>
        <w:t>whole genome s</w:t>
      </w:r>
      <w:r w:rsidR="00F170FF" w:rsidRPr="003B6C7A">
        <w:rPr>
          <w:b/>
        </w:rPr>
        <w:t xml:space="preserve">equencing </w:t>
      </w:r>
      <w:r w:rsidR="008B62DF">
        <w:rPr>
          <w:b/>
        </w:rPr>
        <w:t>analysis</w:t>
      </w:r>
    </w:p>
    <w:p w14:paraId="2421BF63" w14:textId="67912CEC" w:rsidR="00BA0E34" w:rsidRPr="00881853" w:rsidRDefault="00BA0E34" w:rsidP="00F21534">
      <w:pPr>
        <w:pStyle w:val="BodyText"/>
        <w:spacing w:line="480" w:lineRule="auto"/>
      </w:pPr>
      <w:r w:rsidRPr="00881853">
        <w:t xml:space="preserve">Pools of genomic DNA </w:t>
      </w:r>
      <w:r w:rsidR="00025050">
        <w:t>(25</w:t>
      </w:r>
      <w:r w:rsidR="00420F8F">
        <w:t xml:space="preserve"> </w:t>
      </w:r>
      <w:r w:rsidR="00025050">
        <w:t>ng</w:t>
      </w:r>
      <w:r w:rsidR="00420F8F">
        <w:t xml:space="preserve"> </w:t>
      </w:r>
      <w:r w:rsidR="00025050">
        <w:t>/</w:t>
      </w:r>
      <w:r w:rsidR="00420F8F">
        <w:t xml:space="preserve"> </w:t>
      </w:r>
      <w:r w:rsidR="00025050">
        <w:t>ul) f</w:t>
      </w:r>
      <w:r w:rsidR="000159AC">
        <w:t>rom 60 survivors and 6</w:t>
      </w:r>
      <w:bookmarkStart w:id="8" w:name="_GoBack"/>
      <w:bookmarkEnd w:id="8"/>
      <w:r w:rsidRPr="00881853">
        <w:t>0 mortalities from the disease challenge experiment were prepared.</w:t>
      </w:r>
      <w:r w:rsidR="00025050">
        <w:t xml:space="preserve"> </w:t>
      </w:r>
      <w:r w:rsidR="00420F8F">
        <w:t xml:space="preserve">These animals originated from </w:t>
      </w:r>
      <w:r w:rsidR="00025050">
        <w:t>20 full-sib families</w:t>
      </w:r>
      <w:r w:rsidR="00420F8F">
        <w:t xml:space="preserve">, and the family structure was balanced </w:t>
      </w:r>
      <w:r w:rsidR="00025050">
        <w:t xml:space="preserve">between the resistant and susceptible pools. </w:t>
      </w:r>
      <w:r w:rsidR="008B62DF">
        <w:t>Libraries were prepared using the TruSeq DNA PCR free kit (350</w:t>
      </w:r>
      <w:r w:rsidR="00420F8F">
        <w:t xml:space="preserve"> </w:t>
      </w:r>
      <w:r w:rsidR="008B62DF">
        <w:t xml:space="preserve">bp insert size) and sequenced in two lanes of an Illumina HiSeq 4000 </w:t>
      </w:r>
      <w:r w:rsidR="001516D7">
        <w:t xml:space="preserve">using paired-end sequencing </w:t>
      </w:r>
      <w:r w:rsidR="008B62DF">
        <w:t>by Edinburgh Genomics.</w:t>
      </w:r>
    </w:p>
    <w:p w14:paraId="3DB7EE77" w14:textId="29ED5A7E" w:rsidR="00F170FF" w:rsidRPr="001A15DE" w:rsidRDefault="00420F8F" w:rsidP="00F21534">
      <w:pPr>
        <w:pStyle w:val="BodyText"/>
        <w:spacing w:line="480" w:lineRule="auto"/>
      </w:pPr>
      <w:r>
        <w:lastRenderedPageBreak/>
        <w:t xml:space="preserve">Reads </w:t>
      </w:r>
      <w:r w:rsidR="001516D7">
        <w:t>were QC</w:t>
      </w:r>
      <w:r>
        <w:t>-</w:t>
      </w:r>
      <w:r w:rsidR="001516D7">
        <w:t>filtered (phred score above 30) and trimmed to 140</w:t>
      </w:r>
      <w:r>
        <w:t xml:space="preserve"> </w:t>
      </w:r>
      <w:r w:rsidR="001516D7">
        <w:t xml:space="preserve">bp long using Trimmomatic v0.36 </w:t>
      </w:r>
      <w:r w:rsidR="006D1A44">
        <w:fldChar w:fldCharType="begin" w:fldLock="1"/>
      </w:r>
      <w:r w:rsidR="001516D7">
        <w:instrText>ADDIN CSL_CITATION { "citationItems" : [ { "id" : "ITEM-1", "itemData" : { "DOI" : "10.1093/bioinformatics/btu170", "ISSN" : "1460-2059", "PMID" : "24695404", "abstract" : "MOTIVATION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 RESULTS The value of NGS read preprocessing is demonstrated for both reference-based and reference-free tasks. Trimmomatic is shown to produce output that is at least competitive with, and in many cases superior to, that produced by other tools, in all scenarios tested. AVAILABILITY AND IMPLEMENTATION Trimmomatic is licensed under GPL V3. It is cross-platform (Java 1.5+ required) and available at http://www.usadellab.org/cms/index.php?page=trimmomatic CONTACT usadel@bio1.rwth-aachen.de SUPPLEMENTARY INFORMATION Supplementary data are available at Bioinformatics online.", "author" : [ { "dropping-particle" : "", "family" : "Bolger", "given" : "Anthony M.", "non-dropping-particle" : "", "parse-names" : false, "suffix" : "" }, { "dropping-particle" : "", "family" : "Lohse", "given" : "Marc", "non-dropping-particle" : "", "parse-names" : false, "suffix" : "" }, { "dropping-particle" : "", "family" : "Usadel", "given" : "Bjoern", "non-dropping-particle" : "", "parse-names" : false, "suffix" : "" } ], "container-title" : "Bioinformatics", "id" : "ITEM-1", "issue" : "15", "issued" : { "date-parts" : [ [ "2014", "8", "1" ] ] }, "page" : "2114-2120", "title" : "Trimmomatic: a flexible trimmer for Illumina sequence data", "type" : "article-journal", "volume" : "30" }, "uris" : [ "http://www.mendeley.com/documents/?uuid=a7201baa-f28e-311c-ba24-4284f1a63fa3" ] } ], "mendeley" : { "formattedCitation" : "(Bolger &lt;i&gt;et al.&lt;/i&gt; 2014)", "plainTextFormattedCitation" : "(Bolger et al. 2014)", "previouslyFormattedCitation" : "(Bolger &lt;i&gt;et al.&lt;/i&gt; 2014)" }, "properties" : {  }, "schema" : "https://github.com/citation-style-language/schema/raw/master/csl-citation.json" }</w:instrText>
      </w:r>
      <w:r w:rsidR="006D1A44">
        <w:fldChar w:fldCharType="separate"/>
      </w:r>
      <w:r w:rsidR="001516D7" w:rsidRPr="001516D7">
        <w:rPr>
          <w:noProof/>
        </w:rPr>
        <w:t xml:space="preserve">(Bolger </w:t>
      </w:r>
      <w:r w:rsidR="001516D7" w:rsidRPr="001516D7">
        <w:rPr>
          <w:i/>
          <w:noProof/>
        </w:rPr>
        <w:t>et al.</w:t>
      </w:r>
      <w:r w:rsidR="001516D7" w:rsidRPr="001516D7">
        <w:rPr>
          <w:noProof/>
        </w:rPr>
        <w:t xml:space="preserve"> 2014)</w:t>
      </w:r>
      <w:r w:rsidR="006D1A44">
        <w:fldChar w:fldCharType="end"/>
      </w:r>
      <w:r w:rsidR="001516D7">
        <w:t xml:space="preserve">. </w:t>
      </w:r>
      <w:r>
        <w:t xml:space="preserve">Reads were aligned </w:t>
      </w:r>
      <w:r w:rsidR="006F785D">
        <w:t>to the carp reference genome</w:t>
      </w:r>
      <w:r w:rsidR="006F785D" w:rsidRPr="006F785D">
        <w:rPr>
          <w:i/>
        </w:rPr>
        <w:t xml:space="preserve"> </w:t>
      </w:r>
      <w:r w:rsidR="006F785D" w:rsidRPr="00A03DCE">
        <w:rPr>
          <w:i/>
        </w:rPr>
        <w:t>GCA_000951615.2</w:t>
      </w:r>
      <w:r w:rsidR="006F785D">
        <w:rPr>
          <w:i/>
        </w:rPr>
        <w:t xml:space="preserve"> </w:t>
      </w:r>
      <w:r w:rsidR="006D1A44">
        <w:rPr>
          <w:i/>
        </w:rPr>
        <w:fldChar w:fldCharType="begin" w:fldLock="1"/>
      </w:r>
      <w:r w:rsidR="006F785D">
        <w:rPr>
          <w:i/>
        </w:rPr>
        <w:instrText>ADDIN CSL_CITATION { "citationItems" : [ { "id" : "ITEM-1", "itemData" : { "DOI" : "10.1038/ng.3098 http://www.nature.com/ng/journal/vaop/ncurrent/abs/ng.3098.html#supplementary-information", "ISBN" : "1546-1718", "ISSN" : "1546-1718", "abstract" : "The common carp, Cyprinus carpio, is one of the most important cyprinid species and globally accounts for 10{%} of freshwater aquaculture production. Here we present a draft genome of domesticated C. carpio (strain Songpu), whose current assembly contains 52,610 protein-coding genes and approximately 92.3{%} coverage of its paleotetraploidized genome (2n = 100). The latest round of whole-genome duplication has been estimated to have occurred approximately 8.2 million years ago. Genome resequencing of 33 representative individuals from worldwide populations demonstrates a single origin for C. carpio in 2 subspecies (C. carpio Haematopterus and C. carpio carpio). Integrative genomic and transcriptomic analyses were used to identify loci potentially associated with traits including scaling patterns and skin color. In combination with the high-resolution genetic map, the draft genome paves the way for better molecular studies and improved genome-assisted breeding of C. carpio and other closely related species.", "author" : [ { "dropping-particle" : "", "family" : "Xu", "given" : "Peng", "non-dropping-particle" : "", "parse-names" : false, "suffix" : "" }, { "dropping-particle" : "", "family" : "Zhang", "given" : "Xiaofeng", "non-dropping-particle" : "", "parse-names" : false, "suffix" : "" }, { "dropping-particle" : "", "family" : "Wang", "given" : "Xumin", "non-dropping-particle" : "", "parse-names" : false, "suffix" : "" }, { "dropping-particle" : "", "family" : "Li", "given" : "Jiongtang", "non-dropping-particle" : "", "parse-names" : false, "suffix" : "" }, { "dropping-particle" : "", "family" : "Liu", "given" : "Guiming", "non-dropping-particle" : "", "parse-names" : false, "suffix" : "" }, { "dropping-particle" : "", "family" : "Kuang", "given" : "Youyi", "non-dropping-particle" : "", "parse-names" : false, "suffix" : "" }, { "dropping-particle" : "", "family" : "Xu", "given" : "Jian", "non-dropping-particle" : "", "parse-names" : false, "suffix" : "" }, { "dropping-particle" : "", "family" : "Zheng", "given" : "Xianhu", "non-dropping-particle" : "", "parse-names" : false, "suffix" : "" }, { "dropping-particle" : "", "family" : "Ren", "given" : "Lufeng", "non-dropping-particle" : "", "parse-names" : false, "suffix" : "" }, { "dropping-particle" : "", "family" : "Wang", "given" : "Guoliang", "non-dropping-particle" : "", "parse-names" : false, "suffix" : "" }, { "dropping-particle" : "", "family" : "Zhang", "given" : "Yan", "non-dropping-particle" : "", "parse-names" : false, "suffix" : "" }, { "dropping-particle" : "", "family" : "Huo", "given" : "Linhe", "non-dropping-particle" : "", "parse-names" : false, "suffix" : "" }, { "dropping-particle" : "", "family" : "Zhao", "given" : "Zixia", "non-dropping-particle" : "", "parse-names" : false, "suffix" : "" }, { "dropping-particle" : "", "family" : "Cao", "given" : "Dingchen", "non-dropping-particle" : "", "parse-names" : false, "suffix" : "" }, { "dropping-particle" : "", "family" : "Lu", "given" : "Cuiyun", "non-dropping-particle" : "", "parse-names" : false, "suffix" : "" }, { "dropping-particle" : "", "family" : "Li", "given" : "Chao", "non-dropping-particle" : "", "parse-names" : false, "suffix" : "" }, { "dropping-particle" : "", "family" : "Zhou", "given" : "Yi", "non-dropping-particle" : "", "parse-names" : false, "suffix" : "" }, { "dropping-particle" : "", "family" : "Liu", "given" : "Zhanjiang", "non-dropping-particle" : "", "parse-names" : false, "suffix" : "" }, { "dropping-particle" : "", "family" : "Fan", "given" : "Zhonghua", "non-dropping-particle" : "", "parse-names" : false, "suffix" : "" }, { "dropping-particle" : "", "family" : "Shan", "given" : "Guangle", "non-dropping-particle" : "", "parse-names" : false, "suffix" : "" }, { "dropping-particle" : "", "family" : "Li", "given" : "Xingang", "non-dropping-particle" : "", "parse-names" : false, "suffix" : "" }, { "dropping-particle" : "", "family" : "Wu", "given" : "Shuangxiu", "non-dropping-particle" : "", "parse-names" : false, "suffix" : "" }, { "dropping-particle" : "", "family" : "Song", "given" : "Lipu", "non-dropping-particle" : "", "parse-names" : false, "suffix" : "" }, { "dropping-particle" : "", "family" : "Hou", "given" : "Guangyuan", "non-dropping-particle" : "", "parse-names" : false, "suffix" : "" }, { "dropping-particle" : "", "family" : "Jiang", "given" : "Yanliang", "non-dropping-particle" : "", "parse-names" : false, "suffix" : "" }, { "dropping-particle" : "", "family" : "Jeney", "given" : "Zsigmond", "non-dropping-particle" : "", "parse-names" : false, "suffix" : "" }, { "dropping-particle" : "", "family" : "Yu", "given" : "Dan", "non-dropping-particle" : "", "parse-names" : false, "suffix" : "" }, { "dropping-particle" : "", "family" : "Wang", "given" : "Li", "non-dropping-particle" : "", "parse-names" : false, "suffix" : "" }, { "dropping-particle" : "", "family" : "Shao", "given" : "Changjun", "non-dropping-particle" : "", "parse-names" : false, "suffix" : "" }, { "dropping-particle" : "", "family" : "Song", "given" : "Lai", "non-dropping-particle" : "", "parse-names" : false, "suffix" : "" }, { "dropping-particle" : "", "family" : "Sun", "given" : "Jing", "non-dropping-particle" : "", "parse-names" : false, "suffix" : "" }, { "dropping-particle" : "", "family" : "Ji", "given" : "Peifeng", "non-dropping-particle" : "", "parse-names" : false, "suffix" : "" }, { "dropping-particle" : "", "family" : "Wang", "given" : "Jian", "non-dropping-particle" : "", "parse-names" : false, "suffix" : "" }, { "dropping-particle" : "", "family" : "Li", "given" : "Qiang", "non-dropping-particle" : "", "parse-names" : false, "suffix" : "" }, { "dropping-particle" : "", "family" : "Xu", "given" : "Liming", "non-dropping-particle" : "", "parse-names" : false, "suffix" : "" }, { "dropping-particle" : "", "family" : "Sun", "given" : "Fanyue", "non-dropping-particle" : "", "parse-names" : false, "suffix" : "" }, { "dropping-particle" : "", "family" : "Feng", "given" : "Jianxin", "non-dropping-particle" : "", "parse-names" : false, "suffix" : "" }, { "dropping-particle" : "", "family" : "Wang", "given" : "Chenghui", "non-dropping-particle" : "", "parse-names" : false, "suffix" : "" }, { "dropping-particle" : "", "family" : "Wang", "given" : "Shaolin", "non-dropping-particle" : "", "parse-names" : false, "suffix" : "" }, { "dropping-particle" : "", "family" : "Wang", "given" : "Baosen", "non-dropping-particle" : "", "parse-names" : false, "suffix" : "" }, { "dropping-particle" : "", "family" : "Li", "given" : "Yan", "non-dropping-particle" : "", "parse-names" : false, "suffix" : "" }, { "dropping-particle" : "", "family" : "Zhu", "given" : "Yaping", "non-dropping-particle" : "", "parse-names" : false, "suffix" : "" }, { "dropping-particle" : "", "family" : "Xue", "given" : "Wei", "non-dropping-particle" : "", "parse-names" : false, "suffix" : "" }, { "dropping-particle" : "", "family" : "Zhao", "given" : "Lan", "non-dropping-particle" : "", "parse-names" : false, "suffix" : "" }, { "dropping-particle" : "", "family" : "Wang", "given" : "Jintu", "non-dropping-particle" : "", "parse-names" : false, "suffix" : "" }, { "dropping-particle" : "", "family" : "Gu", "given" : "Ying", "non-dropping-particle" : "", "parse-names" : false, "suffix" : "" }, { "dropping-particle" : "", "family" : "Lv", "given" : "Weihua", "non-dropping-particle" : "", "parse-names" : false, "suffix" : "" }, { "dropping-particle" : "", "family" : "Wu", "given" : "Kejing", "non-dropping-particle" : "", "parse-names" : false, "suffix" : "" }, { "dropping-particle" : "", "family" : "Xiao", "given" : "Jingfa", "non-dropping-particle" : "", "parse-names" : false, "suffix" : "" }, { "dropping-particle" : "", "family" : "Wu", "given" : "Jiayan", "non-dropping-particle" : "", "parse-names" : false, "suffix" : "" }, { "dropping-particle" : "", "family" : "Zhang", "given" : "Zhang", "non-dropping-particle" : "", "parse-names" : false, "suffix" : "" }, { "dropping-particle" : "", "family" : "Yu", "given" : "Jun", "non-dropping-particle" : "", "parse-names" : false, "suffix" : "" }, { "dropping-particle" : "", "family" : "Sun", "given" : "Xiaowen", "non-dropping-particle" : "", "parse-names" : false, "suffix" : "" } ], "container-title" : "Nat Genet", "id" : "ITEM-1", "issued" : { "date-parts" : [ [ "2014" ] ] }, "page" : "--", "title" : "Genome sequence and genetic diversity of the common carp, Cyprinus carpio", "type" : "article-journal", "volume" : "advance on" }, "uris" : [ "http://www.mendeley.com/documents/?uuid=46bbc799-2e21-4ae6-b280-53c970a34e0d" ] } ], "mendeley" : { "formattedCitation" : "(Xu &lt;i&gt;et al.&lt;/i&gt; 2014)", "plainTextFormattedCitation" : "(Xu et al. 2014)", "previouslyFormattedCitation" : "(Xu &lt;i&gt;et al.&lt;/i&gt; 2014)" }, "properties" : {  }, "schema" : "https://github.com/citation-style-language/schema/raw/master/csl-citation.json" }</w:instrText>
      </w:r>
      <w:r w:rsidR="006D1A44">
        <w:rPr>
          <w:i/>
        </w:rPr>
        <w:fldChar w:fldCharType="separate"/>
      </w:r>
      <w:r w:rsidR="006F785D" w:rsidRPr="006F785D">
        <w:rPr>
          <w:noProof/>
        </w:rPr>
        <w:t xml:space="preserve">(Xu </w:t>
      </w:r>
      <w:r w:rsidR="006F785D" w:rsidRPr="006F785D">
        <w:rPr>
          <w:i/>
          <w:noProof/>
        </w:rPr>
        <w:t>et al.</w:t>
      </w:r>
      <w:r w:rsidR="006F785D" w:rsidRPr="006F785D">
        <w:rPr>
          <w:noProof/>
        </w:rPr>
        <w:t xml:space="preserve"> 2014)</w:t>
      </w:r>
      <w:r w:rsidR="006D1A44">
        <w:rPr>
          <w:i/>
        </w:rPr>
        <w:fldChar w:fldCharType="end"/>
      </w:r>
      <w:r w:rsidR="006F785D">
        <w:t xml:space="preserve"> using bowtie2 </w:t>
      </w:r>
      <w:r w:rsidR="006D1A44">
        <w:fldChar w:fldCharType="begin" w:fldLock="1"/>
      </w:r>
      <w:r w:rsidR="006F785D">
        <w:instrText>ADDIN CSL_CITATION { "citationItems" : [ { "id" : "ITEM-1", "itemData" : { "DOI" : "10.1038/nmeth.1923", "ISBN" : "1548-7105 (Electronic)\\r1548-7091 (Linking)", "ISSN" : "1548-7091", "PMID" : "22388286", "abstract" : "As the rate of sequencing increases, greater throughput is demanded from read aligners. The full-text minute index is often used to make alignment very fast and memory-efficient, but the approach is ill-suited to finding longer, gapped alignments. Bowtie 2 combines the strengths of the full-text minute index with the flexibility and speed of hardware-accelerated dynamic programming algorithms to achieve a combination of high speed, sensitivity and accuracy.", "author" : [ { "dropping-particle" : "", "family" : "Langmead", "given" : "Ben", "non-dropping-particle" : "", "parse-names" : false, "suffix" : "" }, { "dropping-particle" : "", "family" : "Salzberg", "given" : "Steven L", "non-dropping-particle" : "", "parse-names" : false, "suffix" : "" } ], "container-title" : "Nature Methods", "id" : "ITEM-1", "issue" : "4", "issued" : { "date-parts" : [ [ "2012" ] ] }, "page" : "357-359", "title" : "Fast gapped-read alignment with Bowtie 2", "type" : "article", "volume" : "9" }, "uris" : [ "http://www.mendeley.com/documents/?uuid=29ac2221-7067-4680-b3bb-68acb6ff914a" ] } ], "mendeley" : { "formattedCitation" : "(Langmead and Salzberg 2012)", "plainTextFormattedCitation" : "(Langmead and Salzberg 2012)", "previouslyFormattedCitation" : "(Langmead and Salzberg 2012)" }, "properties" : {  }, "schema" : "https://github.com/citation-style-language/schema/raw/master/csl-citation.json" }</w:instrText>
      </w:r>
      <w:r w:rsidR="006D1A44">
        <w:fldChar w:fldCharType="separate"/>
      </w:r>
      <w:r w:rsidR="006F785D" w:rsidRPr="006F785D">
        <w:rPr>
          <w:noProof/>
        </w:rPr>
        <w:t>(Langmead and Salzberg 2012)</w:t>
      </w:r>
      <w:r w:rsidR="006D1A44">
        <w:fldChar w:fldCharType="end"/>
      </w:r>
      <w:r w:rsidR="006F785D">
        <w:t xml:space="preserve">. SNP identification was performed using </w:t>
      </w:r>
      <w:r w:rsidR="00ED7C65">
        <w:t>Burrow</w:t>
      </w:r>
      <w:r w:rsidR="00337B1B">
        <w:t>s</w:t>
      </w:r>
      <w:r w:rsidR="00ED7C65">
        <w:t>-Wheeler Aligner v</w:t>
      </w:r>
      <w:r w:rsidR="00ED7C65" w:rsidRPr="00ED7C65">
        <w:t>0.7.8</w:t>
      </w:r>
      <w:r w:rsidR="00ED7C65">
        <w:t xml:space="preserve"> (BWA-mem, Li 2013)</w:t>
      </w:r>
      <w:r w:rsidR="00337B1B">
        <w:t>. Pileup files describing the base-pair information at each genomi</w:t>
      </w:r>
      <w:r w:rsidR="005938A7">
        <w:t>c</w:t>
      </w:r>
      <w:r w:rsidR="00337B1B">
        <w:t xml:space="preserve"> position were generated from the alignment files using the mpileup function of Samtools v1.6 (Li et al. 2009)</w:t>
      </w:r>
      <w:r w:rsidR="006F785D">
        <w:t xml:space="preserve"> requiring minimum mapping and base qualiy of </w:t>
      </w:r>
      <w:r w:rsidR="00ED7C65">
        <w:t>20</w:t>
      </w:r>
      <w:r w:rsidR="006F785D">
        <w:t>.</w:t>
      </w:r>
      <w:r w:rsidR="00337B1B">
        <w:t xml:space="preserve"> A Cochran-Mantel-Haenszel test was performed to test the significance of the allele frequency differences using Popoolation 2 v1.201 (Kofler et al. 2011)</w:t>
      </w:r>
      <w:r w:rsidR="00A81336">
        <w:t>. Only those</w:t>
      </w:r>
      <w:r w:rsidR="005C7E87">
        <w:t xml:space="preserve"> genomic</w:t>
      </w:r>
      <w:r w:rsidR="00A81336">
        <w:t xml:space="preserve"> </w:t>
      </w:r>
      <w:r w:rsidR="005C7E87">
        <w:t>position</w:t>
      </w:r>
      <w:r w:rsidR="00A81336">
        <w:t>s with</w:t>
      </w:r>
      <w:r w:rsidR="005C7E87">
        <w:t xml:space="preserve"> at least 6 reads of the alternative allele across all pools and a maximum coverage of 50 reads and a minimum of 8 in all pools were considered SNPs. </w:t>
      </w:r>
      <w:r w:rsidR="005938A7">
        <w:t xml:space="preserve">All QC-filtered SNPs </w:t>
      </w:r>
      <w:r w:rsidR="00F170FF" w:rsidRPr="00025050">
        <w:t>were annotated using SNPeff</w:t>
      </w:r>
      <w:r w:rsidR="008E14A5" w:rsidRPr="00025050">
        <w:t xml:space="preserve"> </w:t>
      </w:r>
      <w:r w:rsidR="006D1A44" w:rsidRPr="00025050">
        <w:fldChar w:fldCharType="begin" w:fldLock="1"/>
      </w:r>
      <w:r w:rsidR="008E14A5" w:rsidRPr="00025050">
        <w:instrText>ADDIN CSL_CITATION { "citationItems" : [ { "id" : "ITEM-1", "itemData" : { "DOI" : "10.4161/fly.19695", "ISSN" : "1933-6934", "abstract" : "We describe a new computer program, SnpEff, for rapidly categorizing the effects of variants in genome sequences. Once a genome is sequenced, SnpEff annotates variants based on their genomic locations and predicts coding effects. Annotated genomic locations include intronic, untranslated region, upstream, downstream, splice site, or intergenic regions. Coding effects such as synonymous or non-synonymous amino acid replacement, start codon gains or losses, stop codon gains or losses, or frame shifts can be predicted. Here the use of SnpEff is illustrated by annotating ~356,660 candidate SNPs in ~117 Mb unique sequences, representing a substitution rate of ~1/305 nucleotides, between the Drosophila melanogaster w1118; iso-2; iso-3 strain and the reference y1; cn1 bw1 sp1 strain. We show that ~15,842 SNPs are synonymous and ~4,467 SNPs are non-synonymous (N/S ~0.28). The remaining SNPs are in other categories, such as stop codon gains (38 SNPs), stop codon losses (8 SNPs), and start codon gains (297 SNPs) in...", "author" : [ { "dropping-particle" : "", "family" : "Cingolani", "given" : "Pablo", "non-dropping-particle" : "", "parse-names" : false, "suffix" : "" }, { "dropping-particle" : "", "family" : "Platts", "given" : "Adrian", "non-dropping-particle" : "", "parse-names" : false, "suffix" : "" }, { "dropping-particle" : "", "family" : "Wang", "given" : "Le Lily", "non-dropping-particle" : "", "parse-names" : false, "suffix" : "" }, { "dropping-particle" : "", "family" : "Coon", "given" : "Melissa", "non-dropping-particle" : "", "parse-names" : false, "suffix" : "" }, { "dropping-particle" : "", "family" : "Nguyen", "given" : "Tung", "non-dropping-particle" : "", "parse-names" : false, "suffix" : "" }, { "dropping-particle" : "", "family" : "Wang", "given" : "Luan", "non-dropping-particle" : "", "parse-names" : false, "suffix" : "" }, { "dropping-particle" : "", "family" : "Land", "given" : "Susan J.", "non-dropping-particle" : "", "parse-names" : false, "suffix" : "" }, { "dropping-particle" : "", "family" : "Lu", "given" : "Xiangyi", "non-dropping-particle" : "", "parse-names" : false, "suffix" : "" }, { "dropping-particle" : "", "family" : "Ruden", "given" : "Douglas M.", "non-dropping-particle" : "", "parse-names" : false, "suffix" : "" } ], "container-title" : "Fly", "id" : "ITEM-1", "issue" : "2", "issued" : { "date-parts" : [ [ "2012", "4", "27" ] ] }, "page" : "80-92", "publisher" : "Taylor &amp; Francis", "title" : "A program for annotating and predicting the effects of single nucleotide polymorphisms, SnpEff", "type" : "article-journal", "volume" : "6" }, "uris" : [ "http://www.mendeley.com/documents/?uuid=489cb7d8-adcb-3da1-bc72-0fb367cefece" ] } ], "mendeley" : { "formattedCitation" : "(Cingolani &lt;i&gt;et al.&lt;/i&gt; 2012)", "plainTextFormattedCitation" : "(Cingolani et al. 2012)", "previouslyFormattedCitation" : "(Cingolani &lt;i&gt;et al.&lt;/i&gt; 2012)" }, "properties" : {  }, "schema" : "https://github.com/citation-style-language/schema/raw/master/csl-citation.json" }</w:instrText>
      </w:r>
      <w:r w:rsidR="006D1A44" w:rsidRPr="00025050">
        <w:fldChar w:fldCharType="separate"/>
      </w:r>
      <w:r w:rsidR="008E14A5" w:rsidRPr="00025050">
        <w:rPr>
          <w:noProof/>
        </w:rPr>
        <w:t xml:space="preserve">(Cingolani </w:t>
      </w:r>
      <w:r w:rsidR="008E14A5" w:rsidRPr="00025050">
        <w:rPr>
          <w:i/>
          <w:noProof/>
        </w:rPr>
        <w:t>et al.</w:t>
      </w:r>
      <w:r w:rsidR="008E14A5" w:rsidRPr="00025050">
        <w:rPr>
          <w:noProof/>
        </w:rPr>
        <w:t xml:space="preserve"> 2012)</w:t>
      </w:r>
      <w:r w:rsidR="006D1A44" w:rsidRPr="00025050">
        <w:fldChar w:fldCharType="end"/>
      </w:r>
      <w:r w:rsidR="00037059" w:rsidRPr="00025050">
        <w:t>.</w:t>
      </w:r>
    </w:p>
    <w:p w14:paraId="5444193B" w14:textId="77777777" w:rsidR="00D62B6E" w:rsidRPr="006C558F" w:rsidRDefault="001959EE" w:rsidP="00E76B1C">
      <w:pPr>
        <w:outlineLvl w:val="0"/>
        <w:rPr>
          <w:b/>
          <w:sz w:val="28"/>
          <w:szCs w:val="28"/>
        </w:rPr>
      </w:pPr>
      <w:r w:rsidRPr="006C558F">
        <w:rPr>
          <w:b/>
          <w:sz w:val="28"/>
          <w:szCs w:val="28"/>
        </w:rPr>
        <w:t>Results</w:t>
      </w:r>
    </w:p>
    <w:p w14:paraId="5388C9A5" w14:textId="77777777" w:rsidR="001959EE" w:rsidRDefault="001959EE"/>
    <w:p w14:paraId="41AC9748" w14:textId="77777777" w:rsidR="00882E58" w:rsidRPr="006C558F" w:rsidRDefault="00882E58" w:rsidP="00E76B1C">
      <w:pPr>
        <w:outlineLvl w:val="0"/>
        <w:rPr>
          <w:b/>
        </w:rPr>
      </w:pPr>
      <w:r w:rsidRPr="006C558F">
        <w:rPr>
          <w:b/>
        </w:rPr>
        <w:t>Disease challenge</w:t>
      </w:r>
    </w:p>
    <w:p w14:paraId="153484EB" w14:textId="77777777" w:rsidR="00882E58" w:rsidRDefault="00882E58"/>
    <w:p w14:paraId="1ADBE418" w14:textId="30CB50EA" w:rsidR="008E4F64" w:rsidRPr="00A422BD" w:rsidRDefault="006462A4" w:rsidP="008E4F64">
      <w:pPr>
        <w:spacing w:line="480" w:lineRule="auto"/>
        <w:jc w:val="both"/>
      </w:pPr>
      <w:r>
        <w:t>Mortalities</w:t>
      </w:r>
      <w:r w:rsidR="00E31FD3">
        <w:t xml:space="preserve"> </w:t>
      </w:r>
      <w:r w:rsidR="00A73C55">
        <w:t xml:space="preserve">began at </w:t>
      </w:r>
      <w:r w:rsidR="00E31FD3">
        <w:t xml:space="preserve">12 dpi </w:t>
      </w:r>
      <w:r>
        <w:t>reaching a</w:t>
      </w:r>
      <w:r w:rsidR="00E31FD3">
        <w:t xml:space="preserve"> maximum between </w:t>
      </w:r>
      <w:r>
        <w:t xml:space="preserve">21 and 24 dpi (98 – 130 </w:t>
      </w:r>
      <w:r w:rsidR="0090371B">
        <w:t xml:space="preserve">mortalities </w:t>
      </w:r>
      <w:r>
        <w:t xml:space="preserve">per day) decreasing thereafter with no mortalities </w:t>
      </w:r>
      <w:r w:rsidR="00BA0E34">
        <w:t xml:space="preserve">observed </w:t>
      </w:r>
      <w:r>
        <w:t>after</w:t>
      </w:r>
      <w:r w:rsidR="00E31FD3">
        <w:t xml:space="preserve"> 35 dpi (Figure 1). </w:t>
      </w:r>
      <w:r w:rsidRPr="00412566">
        <w:t xml:space="preserve">The </w:t>
      </w:r>
      <w:r>
        <w:t xml:space="preserve">overall </w:t>
      </w:r>
      <w:r w:rsidR="00BA0E34">
        <w:t xml:space="preserve">mortality </w:t>
      </w:r>
      <w:r>
        <w:t xml:space="preserve">in the KHV challenge experiment for the Amur Mirror Carp was </w:t>
      </w:r>
      <w:r w:rsidR="00BA0E34">
        <w:t>66 %</w:t>
      </w:r>
      <w:r>
        <w:t xml:space="preserve">. </w:t>
      </w:r>
      <w:r w:rsidR="00E31FD3">
        <w:t xml:space="preserve">All </w:t>
      </w:r>
      <w:r>
        <w:t>observed mortalities</w:t>
      </w:r>
      <w:r w:rsidR="00E31FD3">
        <w:t xml:space="preserve"> displayed typical KHV</w:t>
      </w:r>
      <w:r>
        <w:t xml:space="preserve"> symptoms</w:t>
      </w:r>
      <w:r w:rsidR="00E31FD3">
        <w:t xml:space="preserve"> (</w:t>
      </w:r>
      <w:r w:rsidR="00CD5553">
        <w:t xml:space="preserve">e.g. </w:t>
      </w:r>
      <w:r w:rsidR="00E31FD3" w:rsidRPr="00D61E50">
        <w:t>weakness, lethargy, loss of equilibrium, erratic swimming, sunken eyes, excessive mucous production, increased respiratory rate, discoloration, and hemorrhagic lesions on the skin and gills</w:t>
      </w:r>
      <w:r w:rsidR="009B7F02">
        <w:t xml:space="preserve">). </w:t>
      </w:r>
      <w:r w:rsidR="005B2572">
        <w:t>The p</w:t>
      </w:r>
      <w:r w:rsidR="009B7F02">
        <w:t>resence of KHV was confirmed in all test</w:t>
      </w:r>
      <w:r w:rsidR="00CD5553">
        <w:t>ed</w:t>
      </w:r>
      <w:r w:rsidR="009B7F02">
        <w:t xml:space="preserve"> samples</w:t>
      </w:r>
      <w:r w:rsidR="00E31FD3">
        <w:t xml:space="preserve"> (</w:t>
      </w:r>
      <w:r w:rsidR="00E31FD3" w:rsidRPr="00CC1AAA">
        <w:rPr>
          <w:i/>
        </w:rPr>
        <w:t>n</w:t>
      </w:r>
      <w:r w:rsidR="00E31FD3">
        <w:t xml:space="preserve"> = 100)</w:t>
      </w:r>
      <w:r w:rsidR="00BA0E34">
        <w:t xml:space="preserve">. </w:t>
      </w:r>
      <w:r w:rsidR="00A960D1">
        <w:t xml:space="preserve"> </w:t>
      </w:r>
    </w:p>
    <w:p w14:paraId="00CA3375" w14:textId="77777777" w:rsidR="00E31FD3" w:rsidRDefault="00E31FD3" w:rsidP="00E31FD3">
      <w:pPr>
        <w:spacing w:line="480" w:lineRule="auto"/>
        <w:jc w:val="both"/>
      </w:pPr>
      <w:r>
        <w:t xml:space="preserve">      </w:t>
      </w:r>
    </w:p>
    <w:p w14:paraId="6824AE99" w14:textId="77777777" w:rsidR="008E4F64" w:rsidRPr="002760DB" w:rsidRDefault="008E4F64" w:rsidP="008E4F64">
      <w:pPr>
        <w:rPr>
          <w:b/>
        </w:rPr>
      </w:pPr>
      <w:r w:rsidRPr="002760DB">
        <w:rPr>
          <w:b/>
        </w:rPr>
        <w:t>Heritability estimation</w:t>
      </w:r>
    </w:p>
    <w:p w14:paraId="624B0C08" w14:textId="77777777" w:rsidR="008E4F64" w:rsidRDefault="008E4F64" w:rsidP="008E4F64"/>
    <w:p w14:paraId="74197C26" w14:textId="77777777" w:rsidR="008E4F64" w:rsidRDefault="00A960D1" w:rsidP="008E4F64">
      <w:pPr>
        <w:spacing w:line="480" w:lineRule="auto"/>
        <w:jc w:val="both"/>
      </w:pPr>
      <w:r>
        <w:t>There was marked between</w:t>
      </w:r>
      <w:r w:rsidR="00BA0E34">
        <w:t>-</w:t>
      </w:r>
      <w:r>
        <w:t>family variation in survival rate for both sires (6 – 83 %) and dams (0 – 52 %), suggesting</w:t>
      </w:r>
      <w:r w:rsidR="009E3A3F">
        <w:t xml:space="preserve"> the existence of considerable</w:t>
      </w:r>
      <w:r>
        <w:t xml:space="preserve"> genetic variation </w:t>
      </w:r>
      <w:r w:rsidR="009E3A3F">
        <w:t>for</w:t>
      </w:r>
      <w:r>
        <w:t xml:space="preserve"> host resistance. </w:t>
      </w:r>
      <w:r w:rsidR="008E4F64">
        <w:lastRenderedPageBreak/>
        <w:t xml:space="preserve">Heritability </w:t>
      </w:r>
      <w:r w:rsidR="00BA0E34">
        <w:t xml:space="preserve">estimates </w:t>
      </w:r>
      <w:r w:rsidR="008E4F64">
        <w:t>of overall survival for the pedigree and genomic relationship matrix on the underlying scale were 0.61 (HPD int</w:t>
      </w:r>
      <w:r w:rsidR="00517A63">
        <w:t>erval 95%: 0.42 – 0.80) and 0.50</w:t>
      </w:r>
      <w:r w:rsidR="00E8717E">
        <w:t xml:space="preserve"> (HPD interval 95%: 0.38 – 0.63</w:t>
      </w:r>
      <w:r w:rsidR="008E4F64">
        <w:t>) respectively.</w:t>
      </w:r>
    </w:p>
    <w:p w14:paraId="10BCB791" w14:textId="77777777" w:rsidR="00EB0CC5" w:rsidRDefault="00EB0CC5" w:rsidP="00E76B1C">
      <w:pPr>
        <w:outlineLvl w:val="0"/>
        <w:rPr>
          <w:u w:val="single"/>
        </w:rPr>
      </w:pPr>
    </w:p>
    <w:p w14:paraId="32DAEF99" w14:textId="77777777" w:rsidR="00891D24" w:rsidRPr="00891D24" w:rsidRDefault="006C558F" w:rsidP="00891D24">
      <w:pPr>
        <w:rPr>
          <w:b/>
        </w:rPr>
      </w:pPr>
      <w:r w:rsidRPr="006C558F">
        <w:rPr>
          <w:b/>
        </w:rPr>
        <w:t>Genome wide association approaches</w:t>
      </w:r>
      <w:r w:rsidR="00891D24">
        <w:rPr>
          <w:b/>
        </w:rPr>
        <w:t xml:space="preserve"> -</w:t>
      </w:r>
      <w:r w:rsidR="00891D24" w:rsidRPr="00891D24">
        <w:rPr>
          <w:b/>
        </w:rPr>
        <w:t xml:space="preserve"> SNP annotation in QTL region</w:t>
      </w:r>
    </w:p>
    <w:p w14:paraId="142683B9" w14:textId="77777777" w:rsidR="006C558F" w:rsidRPr="006C558F" w:rsidRDefault="006C558F" w:rsidP="006C558F">
      <w:pPr>
        <w:spacing w:line="480" w:lineRule="auto"/>
        <w:jc w:val="both"/>
        <w:rPr>
          <w:b/>
        </w:rPr>
      </w:pPr>
    </w:p>
    <w:p w14:paraId="2497FA18" w14:textId="59BD524B" w:rsidR="0081574D" w:rsidRDefault="006C558F" w:rsidP="0081574D">
      <w:pPr>
        <w:spacing w:line="480" w:lineRule="auto"/>
        <w:jc w:val="both"/>
        <w:rPr>
          <w:rFonts w:eastAsia="Times New Roman"/>
        </w:rPr>
      </w:pPr>
      <w:r>
        <w:t xml:space="preserve">The SNPs with the </w:t>
      </w:r>
      <w:r w:rsidR="001A607F">
        <w:t>highest</w:t>
      </w:r>
      <w:r>
        <w:t xml:space="preserve"> association (exceeding genome wide significance level) according to classical GWAS were located on li</w:t>
      </w:r>
      <w:r w:rsidR="00422F9E">
        <w:t>nkage group 44</w:t>
      </w:r>
      <w:r>
        <w:t xml:space="preserve"> (</w:t>
      </w:r>
      <w:r w:rsidR="00D93008">
        <w:t xml:space="preserve">chromosome 33; </w:t>
      </w:r>
      <w:r>
        <w:t xml:space="preserve">P &lt; 1e-07; Fig 2). </w:t>
      </w:r>
      <w:r w:rsidR="00BA0E34">
        <w:t xml:space="preserve">This </w:t>
      </w:r>
      <w:r w:rsidR="004723BE">
        <w:t>QTL</w:t>
      </w:r>
      <w:r w:rsidR="00BA0E34">
        <w:t xml:space="preserve"> was also identified using the WGBLUP approach</w:t>
      </w:r>
      <w:r w:rsidR="004723BE">
        <w:t xml:space="preserve"> (Figure 3</w:t>
      </w:r>
      <w:r w:rsidR="00A46507">
        <w:t xml:space="preserve">) suggesting it accounted </w:t>
      </w:r>
      <w:r w:rsidR="00B841DB">
        <w:t xml:space="preserve">for </w:t>
      </w:r>
      <w:r w:rsidR="00A46507">
        <w:t>4</w:t>
      </w:r>
      <w:r w:rsidR="00F27487">
        <w:t xml:space="preserve"> </w:t>
      </w:r>
      <w:r w:rsidR="00A46507">
        <w:t>-</w:t>
      </w:r>
      <w:r w:rsidR="00F27487">
        <w:t xml:space="preserve"> </w:t>
      </w:r>
      <w:r w:rsidR="00A46507">
        <w:t>14%</w:t>
      </w:r>
      <w:r w:rsidR="00FD4B52">
        <w:t xml:space="preserve"> (</w:t>
      </w:r>
      <w:r w:rsidR="00BA0E34">
        <w:t>depending on whether one or three iterations were used</w:t>
      </w:r>
      <w:r w:rsidR="00FD4B52">
        <w:t>)</w:t>
      </w:r>
      <w:r w:rsidR="00A46507">
        <w:t xml:space="preserve"> of the additive genetic variance on the underlying scale. </w:t>
      </w:r>
      <w:r w:rsidR="00B841DB">
        <w:t xml:space="preserve">Whole genome sequencing data from </w:t>
      </w:r>
      <w:r w:rsidR="00C27A44">
        <w:t xml:space="preserve">the </w:t>
      </w:r>
      <w:r w:rsidR="00B841DB">
        <w:t xml:space="preserve">pools of resistance and susceptible animals </w:t>
      </w:r>
      <w:r w:rsidR="00BC0957">
        <w:t xml:space="preserve">was used to discover </w:t>
      </w:r>
      <w:r w:rsidR="00C27A44">
        <w:t xml:space="preserve">and annotate </w:t>
      </w:r>
      <w:r w:rsidR="009E3A3F">
        <w:t>additional</w:t>
      </w:r>
      <w:r w:rsidR="00BC0957">
        <w:t xml:space="preserve"> SNPs in the QTL region</w:t>
      </w:r>
      <w:r w:rsidR="00037059">
        <w:t xml:space="preserve"> (Figure 4)</w:t>
      </w:r>
      <w:r w:rsidR="00C27A44">
        <w:t>, and potential candidate genes were identified.</w:t>
      </w:r>
      <w:r w:rsidR="00143791">
        <w:t xml:space="preserve"> Further, SNPs with significant allele frequency differences</w:t>
      </w:r>
      <w:r w:rsidR="00D5355C">
        <w:t xml:space="preserve"> (P-value &lt; 0.05)</w:t>
      </w:r>
      <w:r w:rsidR="00143791">
        <w:t xml:space="preserve"> between the two groups were identified.</w:t>
      </w:r>
      <w:r w:rsidR="00C27A44">
        <w:t xml:space="preserve"> </w:t>
      </w:r>
      <w:r w:rsidR="00D5355C">
        <w:t xml:space="preserve">A </w:t>
      </w:r>
      <w:r w:rsidR="0081574D">
        <w:t xml:space="preserve">SNP </w:t>
      </w:r>
      <w:r w:rsidR="00D5355C">
        <w:t xml:space="preserve">coding for a </w:t>
      </w:r>
      <w:r w:rsidR="00F27487">
        <w:t xml:space="preserve">putative </w:t>
      </w:r>
      <w:r w:rsidR="00D5355C">
        <w:t>premature stop</w:t>
      </w:r>
      <w:r w:rsidR="0081574D">
        <w:t xml:space="preserve"> </w:t>
      </w:r>
      <w:r w:rsidR="00F27487">
        <w:t xml:space="preserve">codon </w:t>
      </w:r>
      <w:r w:rsidR="0081574D">
        <w:t>was identified in gene T</w:t>
      </w:r>
      <w:r w:rsidR="0081574D" w:rsidRPr="00C27A44">
        <w:t>RIM25</w:t>
      </w:r>
      <w:r w:rsidR="005D018A">
        <w:t xml:space="preserve"> (</w:t>
      </w:r>
      <w:r w:rsidR="005D018A" w:rsidRPr="005D018A">
        <w:t>Glu258*</w:t>
      </w:r>
      <w:r w:rsidR="005D018A">
        <w:t>)</w:t>
      </w:r>
      <w:r w:rsidR="0081574D" w:rsidRPr="00C27A44">
        <w:t>, an E3 ubiquitin ligase with a major role in initiation of intracellular antiviral response to herpesviruses</w:t>
      </w:r>
      <w:r w:rsidR="0081574D">
        <w:t xml:space="preserve"> </w:t>
      </w:r>
      <w:r w:rsidR="006D1A44">
        <w:fldChar w:fldCharType="begin" w:fldLock="1"/>
      </w:r>
      <w:r w:rsidR="0081574D">
        <w:instrText>ADDIN CSL_CITATION { "citationItems" : [ { "id" : "ITEM-1", "itemData" : { "DOI" : "10.1371/journal.ppat.1006852", "ISBN" : "1111111111", "ISSN" : "15537374", "author" : [ { "dropping-particle" : "", "family" : "Gupta", "given" : "Soham", "non-dropping-particle" : "", "parse-names" : false, "suffix" : "" }, { "dropping-particle" : "", "family" : "Yl\u00e4-Anttila", "given" : "P\u00e4ivi", "non-dropping-particle" : "", "parse-names" : false, "suffix" : "" }, { "dropping-particle" : "", "family" : "Callegari", "given" : "Simone", "non-dropping-particle" : "", "parse-names" : false, "suffix" : "" }, { "dropping-particle" : "", "family" : "Tsai", "given" : "Ming Han", "non-dropping-particle" : "", "parse-names" : false, "suffix" : "" }, { "dropping-particle" : "", "family" : "Delecluse", "given" : "Henri Jacques", "non-dropping-particle" : "", "parse-names" : false, "suffix" : "" }, { "dropping-particle" : "", "family" : "Masucci", "given" : "Maria G.", "non-dropping-particle" : "", "parse-names" : false, "suffix" : "" } ], "container-title" : "PLoS Pathogens", "id" : "ITEM-1", "issue" : "1", "issued" : { "date-parts" : [ [ "2018" ] ] }, "title" : "Herpesvirus deconjugases inhibit the IFN response by promoting TRIM25 autoubiquitination and functional inactivation of the RIG-I signalosome", "type" : "article-journal", "volume" : "14" }, "uris" : [ "http://www.mendeley.com/documents/?uuid=2718d086-be51-46e1-8dce-af4747100497" ] } ], "mendeley" : { "formattedCitation" : "(Gupta &lt;i&gt;et al.&lt;/i&gt; 2018)", "plainTextFormattedCitation" : "(Gupta et al. 2018)", "previouslyFormattedCitation" : "(Gupta &lt;i&gt;et al.&lt;/i&gt; 2018)" }, "properties" : {  }, "schema" : "https://github.com/citation-style-language/schema/raw/master/csl-citation.json" }</w:instrText>
      </w:r>
      <w:r w:rsidR="006D1A44">
        <w:fldChar w:fldCharType="separate"/>
      </w:r>
      <w:r w:rsidR="0081574D" w:rsidRPr="00912E5B">
        <w:rPr>
          <w:noProof/>
        </w:rPr>
        <w:t xml:space="preserve">(Gupta </w:t>
      </w:r>
      <w:r w:rsidR="0081574D" w:rsidRPr="00912E5B">
        <w:rPr>
          <w:i/>
          <w:noProof/>
        </w:rPr>
        <w:t>et al.</w:t>
      </w:r>
      <w:r w:rsidR="0081574D" w:rsidRPr="00912E5B">
        <w:rPr>
          <w:noProof/>
        </w:rPr>
        <w:t xml:space="preserve"> 2018)</w:t>
      </w:r>
      <w:r w:rsidR="006D1A44">
        <w:fldChar w:fldCharType="end"/>
      </w:r>
      <w:r w:rsidR="0081574D">
        <w:t>.</w:t>
      </w:r>
    </w:p>
    <w:p w14:paraId="756232CC" w14:textId="77777777" w:rsidR="006C558F" w:rsidRDefault="006C558F" w:rsidP="006C558F">
      <w:pPr>
        <w:spacing w:line="480" w:lineRule="auto"/>
        <w:jc w:val="both"/>
      </w:pPr>
    </w:p>
    <w:p w14:paraId="5343B245" w14:textId="77777777" w:rsidR="001C4405" w:rsidRPr="006C558F" w:rsidRDefault="001C4405" w:rsidP="00E76B1C">
      <w:pPr>
        <w:outlineLvl w:val="0"/>
        <w:rPr>
          <w:b/>
          <w:sz w:val="28"/>
          <w:szCs w:val="28"/>
        </w:rPr>
      </w:pPr>
      <w:r w:rsidRPr="006C558F">
        <w:rPr>
          <w:b/>
          <w:sz w:val="28"/>
          <w:szCs w:val="28"/>
        </w:rPr>
        <w:t>Discussion</w:t>
      </w:r>
    </w:p>
    <w:p w14:paraId="671AEC23" w14:textId="77777777" w:rsidR="001C4405" w:rsidRDefault="001C4405"/>
    <w:p w14:paraId="0EE1EA36" w14:textId="77777777" w:rsidR="00AC64EB" w:rsidRDefault="00AC64EB" w:rsidP="00452C10">
      <w:pPr>
        <w:spacing w:line="480" w:lineRule="auto"/>
        <w:jc w:val="both"/>
      </w:pPr>
    </w:p>
    <w:p w14:paraId="0BE2D7E3" w14:textId="77777777" w:rsidR="00A207BE" w:rsidRDefault="00270AF2" w:rsidP="00914E8F">
      <w:pPr>
        <w:spacing w:line="480" w:lineRule="auto"/>
        <w:jc w:val="both"/>
      </w:pPr>
      <w:r>
        <w:t xml:space="preserve">In the current study, </w:t>
      </w:r>
      <w:r w:rsidR="00452C10">
        <w:t xml:space="preserve">high throughput sequencing </w:t>
      </w:r>
      <w:r>
        <w:t xml:space="preserve">was applied </w:t>
      </w:r>
      <w:r w:rsidR="00452C10">
        <w:t xml:space="preserve">to study genetic resistance of </w:t>
      </w:r>
      <w:r w:rsidR="005D1D77">
        <w:t xml:space="preserve">common </w:t>
      </w:r>
      <w:r w:rsidR="00E76B1C">
        <w:t>carp</w:t>
      </w:r>
      <w:r w:rsidR="00452C10">
        <w:t xml:space="preserve"> to </w:t>
      </w:r>
      <w:r w:rsidR="00E76B1C">
        <w:t>KHV</w:t>
      </w:r>
      <w:r w:rsidR="00452C10">
        <w:t xml:space="preserve">. </w:t>
      </w:r>
      <w:r w:rsidR="00941CF0">
        <w:t xml:space="preserve">While genomic data in the form of genetic markers can be a valuable addition to selective breeding for disease resistance, </w:t>
      </w:r>
      <w:r w:rsidR="00A31B32">
        <w:t>how to apply this data</w:t>
      </w:r>
      <w:r w:rsidR="00941CF0">
        <w:t xml:space="preserve"> depend</w:t>
      </w:r>
      <w:r w:rsidR="00A31B32">
        <w:t>s</w:t>
      </w:r>
      <w:r w:rsidR="00941CF0">
        <w:t xml:space="preserve"> on the underlying genetic architecture. In the case of </w:t>
      </w:r>
      <w:r w:rsidR="00B07CDF">
        <w:t xml:space="preserve">traits controlled by a </w:t>
      </w:r>
      <w:r w:rsidR="00941CF0">
        <w:t xml:space="preserve">major QTL, it may be most effective to use marker-assisted selection, </w:t>
      </w:r>
      <w:r w:rsidR="00B07CDF">
        <w:t xml:space="preserve">while </w:t>
      </w:r>
      <w:r w:rsidR="00941CF0">
        <w:t xml:space="preserve">in the case of polygenic traits genomic selection is likely to be preferable. </w:t>
      </w:r>
      <w:r w:rsidR="00DF0732">
        <w:t xml:space="preserve">Modern genomic tools also facilitate high resolution study </w:t>
      </w:r>
      <w:r w:rsidR="00DF0732">
        <w:lastRenderedPageBreak/>
        <w:t>of the genomic regions underpinning genetic resistance, facilitating identification and annotation of promising functional candidate genes which may play a direct role in differential host response to infection.</w:t>
      </w:r>
    </w:p>
    <w:p w14:paraId="1880D0C5" w14:textId="77777777" w:rsidR="00D2499A" w:rsidRDefault="00D2499A" w:rsidP="00914E8F">
      <w:pPr>
        <w:spacing w:line="480" w:lineRule="auto"/>
        <w:jc w:val="both"/>
      </w:pPr>
    </w:p>
    <w:p w14:paraId="20D5DCFA" w14:textId="77777777" w:rsidR="00D2499A" w:rsidRDefault="00D2499A" w:rsidP="00914E8F">
      <w:pPr>
        <w:spacing w:line="480" w:lineRule="auto"/>
        <w:jc w:val="both"/>
      </w:pPr>
      <w:r>
        <w:t>Following pedigree reconstruction using the RAD SNP data, the heritability of resistance as measured by survival on the underlyin</w:t>
      </w:r>
      <w:r w:rsidR="003C328F">
        <w:t>g scale was estimated to be 0.61 (pedigree) and 0.5</w:t>
      </w:r>
      <w:r>
        <w:t xml:space="preserve">0 (genomic). This is an </w:t>
      </w:r>
      <w:r w:rsidR="00DF0732">
        <w:t xml:space="preserve">unusually </w:t>
      </w:r>
      <w:r>
        <w:t>high heritability estimate, but is comparable to the estimated of 0.79 that was previously documented for this trait</w:t>
      </w:r>
      <w:r w:rsidR="003C328F">
        <w:t xml:space="preserve"> </w:t>
      </w:r>
      <w:r w:rsidR="006D1A44">
        <w:fldChar w:fldCharType="begin" w:fldLock="1"/>
      </w:r>
      <w:r w:rsidR="003C328F">
        <w:instrText>ADDIN CSL_CITATION { "citationItems" : [ { "id" : "ITEM-1", "itemData" : { "DOI" : "10.1016/j.aquaculture.2010.03.017", "ISBN" : "0044-8486", "ISSN" : "00448486", "abstract" : "Estimates of strain effects, heritabilities and genetic correlations for pond survival, resistance to Aeromonas hydrophila and resistance to koi herpesvirus (KHV) were obtained from a diallel cross of 92 full-sib families of common carp produced from four strains (Szarvas 15, Tata, Duna and Amur) and using five females and ten males per strain. Disease resistance was obtained from survival data from challenge-tests using intraperitoneal injection for A. hydrophila and cohabitation for KHV. Two separate challenge-tests were conducted for each disease. The overall survival rates were 44% and 34% for the two tests of A. hydrophila, and 7% and 5% for the two tests of KHV. Pond survival (averaging 78%) was observed over a six months period prior to harvest (at approximately 18 months of age). The three traits were analysed jointly in a multivariate threshold model. For KHV the strain Szarvas 15 had the lowest observed (purebred) survival (0%) followed by Amur (11%), Duna (12%) and Tata (21%), while for A. hydrophila, the lowest (purebred) survival was observed for Duna (28%) followed by Amur (31%), Szarvas 15 (38%) and Tata (48%). Heterosis was not significant for KHV and A. hydrophila resistance, although highly significant for pond survival. The estimated heritability (on the underlying liability scale) was low (0.04 \u00b1 0.03) for A. hydrophila resistance, very high (0.79 \u00b1 0.15) for KHV resistance, and moderate (0.34 \u00b1 0.09) for pond survival. The genetic correlation between the two challenge-tested diseases (KHV and A. hydrophila) was moderately high (0.61 \u00b1 0.29), although uncertain, while the estimated genetic correlations between pond survival and the two challenge-tested diseases were low and not significantly different from zero (0.01 \u00b1 0.28 and - 0.22 \u00b1 0.21 for A. hydrophila and KHV, respectively). The latter may be expected for KHV, as no outbreaks of the disease had been observed in Hungary. Based on the favourable heritabilities of KHV and pond survival there is good prospect for joint improvement of these two traits in common carps through genetic selection. \u00a9 2010 Elsevier B.V. All rights reserved.", "author" : [ { "dropping-particle" : "", "family" : "\u00d8deg\u00e5rd", "given" : "J\u00f8rgen", "non-dropping-particle" : "", "parse-names" : false, "suffix" : "" }, { "dropping-particle" : "", "family" : "Olesen", "given" : "Ingrid", "non-dropping-particle" : "", "parse-names" : false, "suffix" : "" }, { "dropping-particle" : "", "family" : "Dixon", "given" : "Peter", "non-dropping-particle" : "", "parse-names" : false, "suffix" : "" }, { "dropping-particle" : "", "family" : "Jeney", "given" : "Zsigmond", "non-dropping-particle" : "", "parse-names" : false, "suffix" : "" }, { "dropping-particle" : "", "family" : "Nielsen", "given" : "Hanne Marie", "non-dropping-particle" : "", "parse-names" : false, "suffix" : "" }, { "dropping-particle" : "", "family" : "Way", "given" : "Keith", "non-dropping-particle" : "", "parse-names" : false, "suffix" : "" }, { "dropping-particle" : "", "family" : "Joiner", "given" : "Claire", "non-dropping-particle" : "", "parse-names" : false, "suffix" : "" }, { "dropping-particle" : "", "family" : "Jeney", "given" : "Galina", "non-dropping-particle" : "", "parse-names" : false, "suffix" : "" }, { "dropping-particle" : "", "family" : "Ard\u00f3", "given" : "L\u00e1szl\u00f3", "non-dropping-particle" : "", "parse-names" : false, "suffix" : "" }, { "dropping-particle" : "", "family" : "R\u00f3nyai", "given" : "Andr\u00e1s", "non-dropping-particle" : "", "parse-names" : false, "suffix" : "" }, { "dropping-particle" : "", "family" : "Gjerde", "given" : "Bjarne", "non-dropping-particle" : "", "parse-names" : false, "suffix" : "" } ], "container-title" : "Aquaculture", "id" : "ITEM-1", "issue" : "1-4", "issued" : { "date-parts" : [ [ "2010" ] ] }, "page" : "7-13", "title" : "Genetic analysis of common carp (Cyprinus carpio) strains. II: Resistance to koi herpesvirus and Aeromonas hydrophila and their relationship with pond survival", "type" : "article-journal", "volume" : "304" }, "uris" : [ "http://www.mendeley.com/documents/?uuid=f23923fa-19ce-436f-ae69-a6b3a3a788e6" ] } ], "mendeley" : { "formattedCitation" : "(\u00d8deg\u00e5rd &lt;i&gt;et al.&lt;/i&gt; 2010)", "plainTextFormattedCitation" : "(\u00d8deg\u00e5rd et al. 2010)", "previouslyFormattedCitation" : "(\u00d8deg\u00e5rd &lt;i&gt;et al.&lt;/i&gt; 2010)" }, "properties" : {  }, "schema" : "https://github.com/citation-style-language/schema/raw/master/csl-citation.json" }</w:instrText>
      </w:r>
      <w:r w:rsidR="006D1A44">
        <w:fldChar w:fldCharType="separate"/>
      </w:r>
      <w:r w:rsidR="003C328F" w:rsidRPr="003C328F">
        <w:rPr>
          <w:noProof/>
        </w:rPr>
        <w:t xml:space="preserve">(Ødegård </w:t>
      </w:r>
      <w:r w:rsidR="003C328F" w:rsidRPr="003C328F">
        <w:rPr>
          <w:i/>
          <w:noProof/>
        </w:rPr>
        <w:t>et al.</w:t>
      </w:r>
      <w:r w:rsidR="003C328F" w:rsidRPr="003C328F">
        <w:rPr>
          <w:noProof/>
        </w:rPr>
        <w:t xml:space="preserve"> 2010)</w:t>
      </w:r>
      <w:r w:rsidR="006D1A44">
        <w:fldChar w:fldCharType="end"/>
      </w:r>
      <w:r>
        <w:t xml:space="preserve">. These independent high estimates of heritability of resistance to KHV highlight that selective breeding has major potential for producing carp with increased resistance. </w:t>
      </w:r>
      <w:r w:rsidR="00DF49E5">
        <w:t>Additionally, in a recent study of introgression of KHV resistance from a wild carp strain to a farmed carp strain, significant additive genetic variation in resistance was detected</w:t>
      </w:r>
      <w:r w:rsidR="00725DD8">
        <w:t xml:space="preserve"> </w:t>
      </w:r>
      <w:r w:rsidR="006D1A44">
        <w:fldChar w:fldCharType="begin" w:fldLock="1"/>
      </w:r>
      <w:r w:rsidR="001203BB">
        <w:instrText>ADDIN CSL_CITATION { "citationItems" : [ { "id" : "ITEM-1", "itemData" : { "DOI" : "10.3389/fgene.2017.00024", "ISSN" : "1664-8021", "abstract" : "Sustainability and further development of aquaculture production are constantly challenged by outbreaks of fish diseases, which are difficult to prevent or control. Developing fish strains that are genetically resistant to a disease is a cost-effective and a sustainable solution to address this challenge. To do so, heritable genetic variation in disease resistance should be identified and combined together with other desirable production traits. Aquaculture of common carp has suffered substantial losses from the infectious disease caused by the CyHV-3 virus and the global spread of outbreaks indicates that many cultured strains are susceptible. In this research, CyHV-3 resistance from the feral strain \u2018Amur Sassan\u2019 was successfully introgressed into two susceptible cultured strains up to the 1st backcross generation. Variation in resistance of families from F1 and BC1 generations was significantly greater compared to that among families of any of the susceptible parental lines, a good starting point for a family selection program. Considerable additive genetic variation was found for CyHV-3 resistance. This phenotype was transferable between generations with contributions to resistance from both the resistant feral and the susceptible cultured strains. Reduced scale coverage (mirror phenotype) is desirable and common in cultured strains, but so far, cultured mirror carp strains were found to be susceptible. Here, using BC1 families ranging from susceptible to resistant, no differences in resistance levels between fully-scaled and mirror full-sib groups were found, indicating that CyHV-3 resistance was successfully combined with the desirable mirror phenotype. In addition, the CyHV-3 viral load in tissues throughout the infection of susceptible and resistant fish was followed. Although resistant fish get infected, viral loads in tissues of these fish are significantly lesser than in those of susceptible fish, allowing them to survive the disease. Taken together, in this study we have laid the foundation for breeding CyHV-3-resistant strains and started to address the mechanisms underlying the phenotypic differences in resistance to this disease.", "author" : [ { "dropping-particle" : "", "family" : "Tadmor-Levi", "given" : "Roni", "non-dropping-particle" : "", "parse-names" : false, "suffix" : "" }, { "dropping-particle" : "", "family" : "Asoulin", "given" : "Efrat", "non-dropping-particle" : "", "parse-names" : false, "suffix" : "" }, { "dropping-particle" : "", "family" : "Hulata", "given" : "Gideon", "non-dropping-particle" : "", "parse-names" : false, "suffix" : "" }, { "dropping-particle" : "", "family" : "David", "given" : "Lior", "non-dropping-particle" : "", "parse-names" : false, "suffix" : "" } ], "container-title" : "Frontiers in Genetics", "id" : "ITEM-1", "issued" : { "date-parts" : [ [ "2017", "3", "10" ] ] }, "page" : "24", "publisher" : "Frontiers", "title" : "Studying the Genetics of Resistance to CyHV-3 Disease Using Introgression from Feral to Cultured Common Carp Strains", "type" : "article-journal", "volume" : "8" }, "uris" : [ "http://www.mendeley.com/documents/?uuid=b36fc5ea-c270-3ceb-bbc6-459f5e979357" ] } ], "mendeley" : { "formattedCitation" : "(Tadmor-Levi &lt;i&gt;et al.&lt;/i&gt; 2017)", "plainTextFormattedCitation" : "(Tadmor-Levi et al. 2017)", "previouslyFormattedCitation" : "(Tadmor-Levi &lt;i&gt;et al.&lt;/i&gt; 2017)" }, "properties" : {  }, "schema" : "https://github.com/citation-style-language/schema/raw/master/csl-citation.json" }</w:instrText>
      </w:r>
      <w:r w:rsidR="006D1A44">
        <w:fldChar w:fldCharType="separate"/>
      </w:r>
      <w:r w:rsidR="001203BB" w:rsidRPr="001203BB">
        <w:rPr>
          <w:noProof/>
        </w:rPr>
        <w:t xml:space="preserve">(Tadmor-Levi </w:t>
      </w:r>
      <w:r w:rsidR="001203BB" w:rsidRPr="001203BB">
        <w:rPr>
          <w:i/>
          <w:noProof/>
        </w:rPr>
        <w:t>et al.</w:t>
      </w:r>
      <w:r w:rsidR="001203BB" w:rsidRPr="001203BB">
        <w:rPr>
          <w:noProof/>
        </w:rPr>
        <w:t xml:space="preserve"> 2017)</w:t>
      </w:r>
      <w:r w:rsidR="006D1A44">
        <w:fldChar w:fldCharType="end"/>
      </w:r>
      <w:r w:rsidR="00DF49E5">
        <w:t>. Furthermore, the authors showed that resistant carp do become infected, implying that resistance is due to an effective host response to infection</w:t>
      </w:r>
      <w:r w:rsidR="001203BB">
        <w:t xml:space="preserve"> </w:t>
      </w:r>
      <w:r w:rsidR="006D1A44">
        <w:fldChar w:fldCharType="begin" w:fldLock="1"/>
      </w:r>
      <w:r w:rsidR="001203BB">
        <w:instrText>ADDIN CSL_CITATION { "citationItems" : [ { "id" : "ITEM-1", "itemData" : { "DOI" : "10.3389/fgene.2017.00024", "ISSN" : "1664-8021", "abstract" : "Sustainability and further development of aquaculture production are constantly challenged by outbreaks of fish diseases, which are difficult to prevent or control. Developing fish strains that are genetically resistant to a disease is a cost-effective and a sustainable solution to address this challenge. To do so, heritable genetic variation in disease resistance should be identified and combined together with other desirable production traits. Aquaculture of common carp has suffered substantial losses from the infectious disease caused by the CyHV-3 virus and the global spread of outbreaks indicates that many cultured strains are susceptible. In this research, CyHV-3 resistance from the feral strain \u2018Amur Sassan\u2019 was successfully introgressed into two susceptible cultured strains up to the 1st backcross generation. Variation in resistance of families from F1 and BC1 generations was significantly greater compared to that among families of any of the susceptible parental lines, a good starting point for a family selection program. Considerable additive genetic variation was found for CyHV-3 resistance. This phenotype was transferable between generations with contributions to resistance from both the resistant feral and the susceptible cultured strains. Reduced scale coverage (mirror phenotype) is desirable and common in cultured strains, but so far, cultured mirror carp strains were found to be susceptible. Here, using BC1 families ranging from susceptible to resistant, no differences in resistance levels between fully-scaled and mirror full-sib groups were found, indicating that CyHV-3 resistance was successfully combined with the desirable mirror phenotype. In addition, the CyHV-3 viral load in tissues throughout the infection of susceptible and resistant fish was followed. Although resistant fish get infected, viral loads in tissues of these fish are significantly lesser than in those of susceptible fish, allowing them to survive the disease. Taken together, in this study we have laid the foundation for breeding CyHV-3-resistant strains and started to address the mechanisms underlying the phenotypic differences in resistance to this disease.", "author" : [ { "dropping-particle" : "", "family" : "Tadmor-Levi", "given" : "Roni", "non-dropping-particle" : "", "parse-names" : false, "suffix" : "" }, { "dropping-particle" : "", "family" : "Asoulin", "given" : "Efrat", "non-dropping-particle" : "", "parse-names" : false, "suffix" : "" }, { "dropping-particle" : "", "family" : "Hulata", "given" : "Gideon", "non-dropping-particle" : "", "parse-names" : false, "suffix" : "" }, { "dropping-particle" : "", "family" : "David", "given" : "Lior", "non-dropping-particle" : "", "parse-names" : false, "suffix" : "" } ], "container-title" : "Frontiers in Genetics", "id" : "ITEM-1", "issued" : { "date-parts" : [ [ "2017", "3", "10" ] ] }, "page" : "24", "publisher" : "Frontiers", "title" : "Studying the Genetics of Resistance to CyHV-3 Disease Using Introgression from Feral to Cultured Common Carp Strains", "type" : "article-journal", "volume" : "8" }, "uris" : [ "http://www.mendeley.com/documents/?uuid=b36fc5ea-c270-3ceb-bbc6-459f5e979357" ] } ], "mendeley" : { "formattedCitation" : "(Tadmor-Levi &lt;i&gt;et al.&lt;/i&gt; 2017)", "plainTextFormattedCitation" : "(Tadmor-Levi et al. 2017)", "previouslyFormattedCitation" : "(Tadmor-Levi &lt;i&gt;et al.&lt;/i&gt; 2017)" }, "properties" : {  }, "schema" : "https://github.com/citation-style-language/schema/raw/master/csl-citation.json" }</w:instrText>
      </w:r>
      <w:r w:rsidR="006D1A44">
        <w:fldChar w:fldCharType="separate"/>
      </w:r>
      <w:r w:rsidR="001203BB" w:rsidRPr="001203BB">
        <w:rPr>
          <w:noProof/>
        </w:rPr>
        <w:t xml:space="preserve">(Tadmor-Levi </w:t>
      </w:r>
      <w:r w:rsidR="001203BB" w:rsidRPr="001203BB">
        <w:rPr>
          <w:i/>
          <w:noProof/>
        </w:rPr>
        <w:t>et al.</w:t>
      </w:r>
      <w:r w:rsidR="001203BB" w:rsidRPr="001203BB">
        <w:rPr>
          <w:noProof/>
        </w:rPr>
        <w:t xml:space="preserve"> 2017)</w:t>
      </w:r>
      <w:r w:rsidR="006D1A44">
        <w:fldChar w:fldCharType="end"/>
      </w:r>
      <w:r w:rsidR="00DF49E5">
        <w:t>.</w:t>
      </w:r>
      <w:r w:rsidR="00827244">
        <w:t xml:space="preserve"> Early stage host response to KHV infection is likely to have a major interferon pathway component, with </w:t>
      </w:r>
      <w:r w:rsidR="00D0656E">
        <w:t>Interferon αβ, and interleukin 12 suggested to play a major role in Koi and Red common carp</w:t>
      </w:r>
      <w:r w:rsidR="00DF0BC7">
        <w:t xml:space="preserve"> </w:t>
      </w:r>
      <w:r w:rsidR="006D1A44">
        <w:fldChar w:fldCharType="begin" w:fldLock="1"/>
      </w:r>
      <w:r w:rsidR="00DF0BC7">
        <w:instrText>ADDIN CSL_CITATION { "citationItems" : [ { "id" : "ITEM-1", "itemData" : { "DOI" : "10.12717/DR.2017.21.4.361", "ISSN" : "2465-9525", "PMID" : "29354782", "abstract" : "Koi herpesvirus (KHV), also known as Cyprinid herpes virus 3 (Cyprinid 3) is lethal disease in common carp and koi (Cyprinus carpio). Two different groups (KK and RK) were infected KHV by intraperitoneal injection. Fish for gene expression analysis were sampled at 0 h, 12 h, 24 h, 48 h and 72 h post infection (p.i). The results showed that two immune related gene, Interferons (INFs) \u0251\u03b2 and Interleukin (IL)-12 p35 induced a high response in RK. The IL-12 p35 cytokine and Toll-like receptor (TLR) 9 were significantly high expressed on 48 h post infection (p.i) in RK as compared to the KK. The histopatological examination reveals focal necrosis in liver and infiltrate of lymphocytes in spleen of KK as compared to the RK. In immunohistochemistry analysis, the KHV protein high expressed in the infected kidney cell and slenocyte of KK. Therefore, the expression of IL-12 p35, IFN \u0251\u03b2 and TLR 9 may provide a potentially genes related with KHV resistance in Koi and red common carp \u00d7 koi.", "author" : [ { "dropping-particle" : "", "family" : "Hwang", "given" : "Ju-Ae", "non-dropping-particle" : "", "parse-names" : false, "suffix" : "" }, { "dropping-particle" : "", "family" : "Kim", "given" : "Jung Eun", "non-dropping-particle" : "", "parse-names" : false, "suffix" : "" }, { "dropping-particle" : "", "family" : "Kim", "given" : "Hyeong-Su", "non-dropping-particle" : "", "parse-names" : false, "suffix" : "" }, { "dropping-particle" : "", "family" : "Lee", "given" : "Jeong-Ho", "non-dropping-particle" : "", "parse-names" : false, "suffix" : "" } ], "container-title" : "Development &amp; reproduction", "id" : "ITEM-1", "issue" : "4", "issued" : { "date-parts" : [ [ "2017", "12" ] ] }, "page" : "361-370", "publisher" : "Korean Society of Developmental Biology", "title" : "Immune Response to Koi Herpesvirus (KHV) of Koi and Koi \u00d7 Red Common Carp (Cyprinus carpio).", "type" : "article-journal", "volume" : "21" }, "uris" : [ "http://www.mendeley.com/documents/?uuid=37a9270c-6b77-39fa-a5e1-4799a965bc14" ] } ], "mendeley" : { "formattedCitation" : "(Hwang &lt;i&gt;et al.&lt;/i&gt; 2017)", "plainTextFormattedCitation" : "(Hwang et al. 2017)", "previouslyFormattedCitation" : "(Hwang &lt;i&gt;et al.&lt;/i&gt; 2017)" }, "properties" : {  }, "schema" : "https://github.com/citation-style-language/schema/raw/master/csl-citation.json" }</w:instrText>
      </w:r>
      <w:r w:rsidR="006D1A44">
        <w:fldChar w:fldCharType="separate"/>
      </w:r>
      <w:r w:rsidR="00DF0BC7" w:rsidRPr="00DF0BC7">
        <w:rPr>
          <w:noProof/>
        </w:rPr>
        <w:t xml:space="preserve">(Hwang </w:t>
      </w:r>
      <w:r w:rsidR="00DF0BC7" w:rsidRPr="00DF0BC7">
        <w:rPr>
          <w:i/>
          <w:noProof/>
        </w:rPr>
        <w:t>et al.</w:t>
      </w:r>
      <w:r w:rsidR="00DF0BC7" w:rsidRPr="00DF0BC7">
        <w:rPr>
          <w:noProof/>
        </w:rPr>
        <w:t xml:space="preserve"> 2017)</w:t>
      </w:r>
      <w:r w:rsidR="006D1A44">
        <w:fldChar w:fldCharType="end"/>
      </w:r>
      <w:r w:rsidR="00DF0BC7">
        <w:t>.</w:t>
      </w:r>
      <w:r w:rsidR="00D0656E">
        <w:t xml:space="preserve"> </w:t>
      </w:r>
    </w:p>
    <w:p w14:paraId="478B1A44" w14:textId="77777777" w:rsidR="00A207BE" w:rsidRDefault="00A207BE" w:rsidP="00914E8F">
      <w:pPr>
        <w:spacing w:line="480" w:lineRule="auto"/>
        <w:jc w:val="both"/>
      </w:pPr>
    </w:p>
    <w:p w14:paraId="0C56A0A1" w14:textId="77777777" w:rsidR="00691B1E" w:rsidRDefault="00DF0732" w:rsidP="00786471">
      <w:pPr>
        <w:spacing w:line="480" w:lineRule="auto"/>
        <w:jc w:val="both"/>
      </w:pPr>
      <w:r>
        <w:t xml:space="preserve">The </w:t>
      </w:r>
      <w:r w:rsidR="00261DC3">
        <w:t xml:space="preserve">CGWAS </w:t>
      </w:r>
      <w:r>
        <w:t xml:space="preserve">resulted in the identification of </w:t>
      </w:r>
      <w:r w:rsidR="00261DC3">
        <w:t xml:space="preserve"> genome-wide significant QTL </w:t>
      </w:r>
      <w:r>
        <w:t>on</w:t>
      </w:r>
      <w:r w:rsidR="00FD4B52">
        <w:t xml:space="preserve"> linkage group 44</w:t>
      </w:r>
      <w:r w:rsidR="00261DC3">
        <w:t xml:space="preserve">. </w:t>
      </w:r>
      <w:r w:rsidR="00A31B32">
        <w:t>While this test is the most common</w:t>
      </w:r>
      <w:r w:rsidR="000A6F42">
        <w:t>ly used</w:t>
      </w:r>
      <w:r w:rsidR="00A31B32">
        <w:t xml:space="preserve"> association</w:t>
      </w:r>
      <w:r w:rsidR="00B07CDF">
        <w:t xml:space="preserve"> </w:t>
      </w:r>
      <w:r w:rsidR="00261DC3">
        <w:t>analysis</w:t>
      </w:r>
      <w:r w:rsidR="00A31B32">
        <w:t>,</w:t>
      </w:r>
      <w:r w:rsidR="00261DC3">
        <w:t xml:space="preserve"> </w:t>
      </w:r>
      <w:r w:rsidR="00A31B32">
        <w:t>it</w:t>
      </w:r>
      <w:r w:rsidR="00261DC3">
        <w:t xml:space="preserve"> fails to utilize </w:t>
      </w:r>
      <w:r w:rsidR="00B07CDF">
        <w:t>all</w:t>
      </w:r>
      <w:r w:rsidR="00261DC3">
        <w:t xml:space="preserve"> available information </w:t>
      </w:r>
      <w:r w:rsidR="00A31B32">
        <w:t>since it</w:t>
      </w:r>
      <w:r w:rsidR="00B07CDF">
        <w:t xml:space="preserve"> does not consider linkage disequilibrium between adjacent SNPs, </w:t>
      </w:r>
      <w:r w:rsidR="00261DC3">
        <w:t>resulting in</w:t>
      </w:r>
      <w:r w:rsidR="00B07CDF">
        <w:t xml:space="preserve"> reduced</w:t>
      </w:r>
      <w:r w:rsidR="00261DC3">
        <w:t xml:space="preserve"> statistical power as opposed to methods where all SNPs are used simultaneously </w:t>
      </w:r>
      <w:r w:rsidR="006D1A44">
        <w:fldChar w:fldCharType="begin" w:fldLock="1"/>
      </w:r>
      <w:r w:rsidR="00C242BD">
        <w:instrText>ADDIN CSL_CITATION { "citationItems" : [ { "id" : "ITEM-1", "itemData" : { "DOI" : "10.1017/S0016672312000274", "ISBN" : "0016-6723", "ISSN" : "00166723", "PMID" : "22624567", "abstract" : "A common problem for genome-wide association analysis (GWAS) is lack of power for detection of quantitative trait loci (QTLs) and precision for fine mapping. Here, we present a statistical method, termed single-step GBLUP (ssGBLUP), which increases both power and precision without increasing genotyping costs by taking advantage of phenotypes from other related and unrelated subjects. The procedure achieves these goals by blending traditional pedigree relationships with those derived from genetic markers, and by conversion of estimated breeding values (EBVs) to marker effects and weights. Additionally, the application of mixed model approaches allow for both simple and complex analyses that involve multiple traits and confounding factors, such as environmental, epigenetic or maternal environmental effects. Efficiency of the method was examined using simulations with 15 800 subjects, of which 1500 were genotyped. Thirty QTLs were simulated across genome and assumed heritability was 0.5. Comparisons included ssGBLUP applied directly to phenotypes, BayesB and classical GWAS (CGWAS) with deregressed proofs. An average accuracy of prediction 0.89 was obtained by ssGBLUP after one iteration, which was 0.01 higher than by BayesB. Power and precision for GWAS applications were evaluated by the correlation between true QTL effects and the sum of m adjacent single nucleotide polymorphism (SNP) effects. The highest correlations were 0.82 and 0.74 for ssGBLUP and CGWAS with m=8, and 0.83 for BayesB with m=16. Standard deviations of the correlations across replicates were several times higher in BayesB than in ssGBLUP. The ssGBLUP method with marker weights is faster, more accurate and easier to implement for GWAS applications without computing pseudo-data.", "author" : [ { "dropping-particle" : "", "family" : "Wang", "given" : "H.", "non-dropping-particle" : "", "parse-names" : false, "suffix" : "" }, { "dropping-particle" : "", "family" : "Misztal", "given" : "I.", "non-dropping-particle" : "", "parse-names" : false, "suffix" : "" }, { "dropping-particle" : "", "family" : "Aguilar", "given" : "I.", "non-dropping-particle" : "", "parse-names" : false, "suffix" : "" }, { "dropping-particle" : "", "family" : "Legarra", "given" : "A.", "non-dropping-particle" : "", "parse-names" : false, "suffix" : "" }, { "dropping-particle" : "", "family" : "Muir", "given" : "W. M.", "non-dropping-particle" : "", "parse-names" : false, "suffix" : "" } ], "container-title" : "Genetics Research", "id" : "ITEM-1", "issue" : "2", "issued" : { "date-parts" : [ [ "2012" ] ] }, "page" : "73-83", "title" : "Genome-wide association mapping including phenotypes from relatives without genotypes", "type" : "article-journal", "volume" : "94" }, "uris" : [ "http://www.mendeley.com/documents/?uuid=87ea41d1-f4ef-44c3-9d42-e13af660562b", "http://www.mendeley.com/documents/?uuid=0316eeba-28f7-4486-b948-b74435fc86e3" ] } ], "mendeley" : { "formattedCitation" : "(Wang &lt;i&gt;et al.&lt;/i&gt; 2012)", "plainTextFormattedCitation" : "(Wang et al. 2012)", "previouslyFormattedCitation" : "(Wang &lt;i&gt;et al.&lt;/i&gt; 2012)" }, "properties" : {  }, "schema" : "https://github.com/citation-style-language/schema/raw/master/csl-citation.json" }</w:instrText>
      </w:r>
      <w:r w:rsidR="006D1A44">
        <w:fldChar w:fldCharType="separate"/>
      </w:r>
      <w:r w:rsidR="00261DC3" w:rsidRPr="002A3E9C">
        <w:rPr>
          <w:noProof/>
        </w:rPr>
        <w:t xml:space="preserve">(Wang </w:t>
      </w:r>
      <w:r w:rsidR="00261DC3" w:rsidRPr="002A3E9C">
        <w:rPr>
          <w:i/>
          <w:noProof/>
        </w:rPr>
        <w:t>et al.</w:t>
      </w:r>
      <w:r w:rsidR="00261DC3" w:rsidRPr="002A3E9C">
        <w:rPr>
          <w:noProof/>
        </w:rPr>
        <w:t xml:space="preserve"> 2012)</w:t>
      </w:r>
      <w:r w:rsidR="006D1A44">
        <w:fldChar w:fldCharType="end"/>
      </w:r>
      <w:r w:rsidR="00261DC3">
        <w:t xml:space="preserve">. </w:t>
      </w:r>
      <w:r w:rsidR="00B07CDF">
        <w:t xml:space="preserve"> </w:t>
      </w:r>
      <w:r w:rsidR="00143791">
        <w:t xml:space="preserve">The </w:t>
      </w:r>
      <w:r w:rsidR="00261DC3">
        <w:t xml:space="preserve">WGBLUP </w:t>
      </w:r>
      <w:r w:rsidR="00143791">
        <w:t xml:space="preserve">approach incorporates multiple SNPs and </w:t>
      </w:r>
      <w:r w:rsidR="00261DC3">
        <w:t xml:space="preserve">combines the computational efficiency of GBLUP with </w:t>
      </w:r>
      <w:r w:rsidR="00A31B32">
        <w:t xml:space="preserve">an </w:t>
      </w:r>
      <w:r w:rsidR="00261DC3">
        <w:t>increase</w:t>
      </w:r>
      <w:r w:rsidR="00A31B32">
        <w:t>d</w:t>
      </w:r>
      <w:r w:rsidR="00261DC3">
        <w:t xml:space="preserve"> statistical power for QTL detection </w:t>
      </w:r>
      <w:r w:rsidR="006D1A44">
        <w:fldChar w:fldCharType="begin" w:fldLock="1"/>
      </w:r>
      <w:r w:rsidR="00C242BD">
        <w:instrText>ADDIN CSL_CITATION { "citationItems" : [ { "id" : "ITEM-1", "itemData" : { "DOI" : "10.3389/fgene.2016.00151", "ISBN" : "1664-8021", "ISSN" : "16648021", "PMID" : "27594861", "abstract" : "Genomic Best Linear Unbiased Predictor (GBLUP) assumes equal variance for all single nucleotide polymorphisms (SNP). When traits are influenced by major SNP, Bayesian methods have the advantage of SNP selection. To overcome the limitation of GBLUP, unequal variance or weights for all SNP are applied in a method called weighted GBLUP (WGBLUP). If only a fraction of animals is genotyped, single-step WGBLUP (WssGBLUP) can be used. Default weights in WGBLUP or WssGBLUP are obtained iteratively based on single SNP effect squared (u^2) and/or heterozygosity. When the weights are optimal, prediction accuracy and ability to detect major SNP are maximized. The objective was to develop optimal weights for WGBLUP-based methods. We evaluated 5 new procedures that accounted for locus-specific or windows-specific variance to maximize accuracy of predicting genomic estimated breeding value (GEBV) and SNP effect. Simulated datasets consisted of phenotypes for 13,000 animals, including 1,540 animals genotyped for 45,000 SNP. Scenarios with 5, 100 and 500 simulated quantitative trait loci (QTL) were considered. The 5 new procedures for SNP weighting were: 1) u^2 plus a constant equal to the weight of the top SNP; 2) from a heavy-tailed distribution (similar to BayesA); 3) for every 20 SNP in a window along the whole genome, the largest effect (u^2) among them; 4) the mean effect of every 20 SNP; and 5) the summation of every 20 SNP. Those methods were compared to the default WssGBLUP, GBLUP, BayesB, and BayesC. WssGBLUP methods were evaluated over 10 iterations. The accuracy of predicting GEBV was the correlation between true and estimated genomic breeding values for 300 genotyped animals from the last generation. The ability to detect the simulated QTL was also investigated. For most of the QTL scenarios, the accuracies obtained with all WssGBLUP procedures were higher compared to those from BayesB and BayesC, partly due to automatic inclusion of parent average in the former. Manhattan plots had higher resolution with 5 and 100 QTL. Using a common weight for a window of 20 SNP that sums or averages the SNP variance enhances accuracy of predicting GEBV and provides accurate estimation of marker effects.", "author" : [ { "dropping-particle" : "", "family" : "Zhang", "given" : "Xinyue", "non-dropping-particle" : "", "parse-names" : false, "suffix" : "" }, { "dropping-particle" : "", "family" : "Lourenco", "given" : "Daniela", "non-dropping-particle" : "", "parse-names" : false, "suffix" : "" }, { "dropping-particle" : "", "family" : "Aguilar", "given" : "Ignacio", "non-dropping-particle" : "", "parse-names" : false, "suffix" : "" }, { "dropping-particle" : "", "family" : "Legarra", "given" : "Andres", "non-dropping-particle" : "", "parse-names" : false, "suffix" : "" }, { "dropping-particle" : "", "family" : "Misztal", "given" : "Ignacy", "non-dropping-particle" : "", "parse-names" : false, "suffix" : "" } ], "container-title" : "Frontiers in Genetics", "id" : "ITEM-1", "issue" : "AUG", "issued" : { "date-parts" : [ [ "2016" ] ] }, "title" : "Weighting strategies for single-step genomic BLUP: An iterative approach for accurate calculation of GEBV and GWAS", "type" : "article-journal", "volume" : "7" }, "uris" : [ "http://www.mendeley.com/documents/?uuid=a0688bd4-7b05-4b45-aad6-2f718ebc9676", "http://www.mendeley.com/documents/?uuid=b720bf95-fd77-4569-b680-590726bf6629" ] } ], "mendeley" : { "formattedCitation" : "(Zhang &lt;i&gt;et al.&lt;/i&gt; 2016)", "plainTextFormattedCitation" : "(Zhang et al. 2016)", "previouslyFormattedCitation" : "(Zhang &lt;i&gt;et al.&lt;/i&gt; 2016)" }, "properties" : {  }, "schema" : "https://github.com/citation-style-language/schema/raw/master/csl-citation.json" }</w:instrText>
      </w:r>
      <w:r w:rsidR="006D1A44">
        <w:fldChar w:fldCharType="separate"/>
      </w:r>
      <w:r w:rsidR="00261DC3" w:rsidRPr="00C8661D">
        <w:rPr>
          <w:noProof/>
        </w:rPr>
        <w:t xml:space="preserve">(Zhang </w:t>
      </w:r>
      <w:r w:rsidR="00261DC3" w:rsidRPr="00C8661D">
        <w:rPr>
          <w:i/>
          <w:noProof/>
        </w:rPr>
        <w:t>et al.</w:t>
      </w:r>
      <w:r w:rsidR="00261DC3" w:rsidRPr="00C8661D">
        <w:rPr>
          <w:noProof/>
        </w:rPr>
        <w:t xml:space="preserve"> 2016)</w:t>
      </w:r>
      <w:r w:rsidR="006D1A44">
        <w:fldChar w:fldCharType="end"/>
      </w:r>
      <w:r w:rsidR="00261DC3">
        <w:t xml:space="preserve">. </w:t>
      </w:r>
      <w:r w:rsidR="00143791">
        <w:t>In the current study, b</w:t>
      </w:r>
      <w:r w:rsidR="00261DC3">
        <w:t xml:space="preserve">oth CGWAS and WGBLUP provided </w:t>
      </w:r>
      <w:r w:rsidR="00143791">
        <w:t xml:space="preserve">significant </w:t>
      </w:r>
      <w:r w:rsidR="00261DC3">
        <w:lastRenderedPageBreak/>
        <w:t>evidence for the existence of a QTL associated with resis</w:t>
      </w:r>
      <w:r w:rsidR="00FD4B52">
        <w:t xml:space="preserve">tance to </w:t>
      </w:r>
      <w:r w:rsidR="00B07CDF">
        <w:t xml:space="preserve">KHV </w:t>
      </w:r>
      <w:r w:rsidR="00143791">
        <w:t>on</w:t>
      </w:r>
      <w:r w:rsidR="00FD4B52">
        <w:t xml:space="preserve"> linkage group 44</w:t>
      </w:r>
      <w:r w:rsidR="00143791">
        <w:t>, explaining up to 14 % of the genetic variation in a highly heritable trait.</w:t>
      </w:r>
      <w:r w:rsidR="00786471">
        <w:t xml:space="preserve"> </w:t>
      </w:r>
    </w:p>
    <w:p w14:paraId="29620C2E" w14:textId="77777777" w:rsidR="00691B1E" w:rsidRDefault="00691B1E" w:rsidP="00786471">
      <w:pPr>
        <w:spacing w:line="480" w:lineRule="auto"/>
        <w:jc w:val="both"/>
      </w:pPr>
    </w:p>
    <w:p w14:paraId="3E7B8C6D" w14:textId="6366AF0E" w:rsidR="00786471" w:rsidRDefault="00990912" w:rsidP="00786471">
      <w:pPr>
        <w:spacing w:line="480" w:lineRule="auto"/>
        <w:jc w:val="both"/>
        <w:rPr>
          <w:rFonts w:eastAsia="Times New Roman"/>
        </w:rPr>
      </w:pPr>
      <w:r>
        <w:t>The</w:t>
      </w:r>
      <w:r w:rsidR="00786471">
        <w:t xml:space="preserve"> SNP with highest association </w:t>
      </w:r>
      <w:r>
        <w:t xml:space="preserve">in the CGWAS </w:t>
      </w:r>
      <w:r w:rsidR="00786471">
        <w:t>was located</w:t>
      </w:r>
      <w:r>
        <w:t xml:space="preserve"> ~6.5</w:t>
      </w:r>
      <w:r w:rsidR="000A6F42">
        <w:t xml:space="preserve"> </w:t>
      </w:r>
      <w:r>
        <w:t>Kb upstream of</w:t>
      </w:r>
      <w:r w:rsidR="00786471">
        <w:t xml:space="preserve"> T</w:t>
      </w:r>
      <w:r w:rsidR="00786471" w:rsidRPr="00143791">
        <w:t>RIM25, an E3 ubiquitin ligase with a major role in initiation of intracellular antiviral response to herpesviruses</w:t>
      </w:r>
      <w:r w:rsidR="00786471">
        <w:t xml:space="preserve">. Autoubiquitinisation of TRIM25 is a viral strategy for functional inactivation of the pattern recognition protein RIG1, and subsequent cellular interferon response </w:t>
      </w:r>
      <w:r w:rsidR="006D1A44">
        <w:rPr>
          <w:rFonts w:eastAsia="Times New Roman"/>
          <w:color w:val="212121"/>
          <w:shd w:val="clear" w:color="auto" w:fill="FFFFFF"/>
        </w:rPr>
        <w:fldChar w:fldCharType="begin" w:fldLock="1"/>
      </w:r>
      <w:r w:rsidR="00786471">
        <w:rPr>
          <w:rFonts w:eastAsia="Times New Roman"/>
          <w:color w:val="212121"/>
          <w:shd w:val="clear" w:color="auto" w:fill="FFFFFF"/>
        </w:rPr>
        <w:instrText>ADDIN CSL_CITATION { "citationItems" : [ { "id" : "ITEM-1", "itemData" : { "DOI" : "10.1073/pnas.0804947105", "ISSN" : "1091-6490", "PMID" : "18948594", "abstract" : "The caspase recruitment domain (CARD) of intracellular adaptors and sensors plays a critical role in the assembly of signaling complexes involved in innate host defense against pathogens and in the regulation of inflammatory responses. The cytosolic receptor retinoic acid-inducible gene-I (RIG-I) recognizes viral RNA in a 5'-triphosphate-dependent manner and initiates an antiviral signaling cascade. Upon viral infection, the N-terminal CARDs of RIG-I undergo the K(63)-linked ubiquitination induced by tripartite motif protein 25 (TRIM25), critical for the interaction of RIG-I with its downstream signaling partner MAVS/VISA/IPS-1/Cardif. Here, we demonstrate the distinct roles of RIG-I first and second CARD in TRIM25-mediated RIG-I ubiquitination: TRIM25 binds the RIG-I first CARD and subsequently ubiquitinates its second CARD. The T(55)I mutation in RIG-I first CARD abolishes TRIM25 interaction, whereas the K(172)R mutation in the second CARD eliminates polyubiquitin attachment. The necessity of the intact tandem CARD for RIG-I function is further evidenced by a RIG-I splice variant (SV) whose expression is robustly up-regulated upon viral infection. The RIG-I SV carries a short deletion (amino acids 36-80) within the first CARD and thereby loses TRIM25 binding, CARD ubiquitination, and downstream signaling ability. Furthermore, because of its robust inhibition of virus-induced RIG-I multimerization and RIG-I-MAVS signaling complex formation, this SV effectively suppresses the RIG-I-mediated IFN-beta production. This study not only elucidates the vital role of the intact tandem CARD for TRIM25-mediated RIG-I activation but also identifies the RIG-I SV as an off-switch regulator of its own signaling pathway.", "author" : [ { "dropping-particle" : "", "family" : "Gack", "given" : "Michaela U", "non-dropping-particle" : "", "parse-names" : false, "suffix" : "" }, { "dropping-particle" : "", "family" : "Kirchhofer", "given" : "Axel", "non-dropping-particle" : "", "parse-names" : false, "suffix" : "" }, { "dropping-particle" : "", "family" : "Shin", "given" : "Young C", "non-dropping-particle" : "", "parse-names" : false, "suffix" : "" }, { "dropping-particle" : "", "family" : "Inn", "given" : "Kyung-Soo", "non-dropping-particle" : "", "parse-names" : false, "suffix" : "" }, { "dropping-particle" : "", "family" : "Liang", "given" : "Chengyu", "non-dropping-particle" : "", "parse-names" : false, "suffix" : "" }, { "dropping-particle" : "", "family" : "Cui", "given" : "Sheng", "non-dropping-particle" : "", "parse-names" : false, "suffix" : "" }, { "dropping-particle" : "", "family" : "Myong", "given" : "Sua", "non-dropping-particle" : "", "parse-names" : false, "suffix" : "" }, { "dropping-particle" : "", "family" : "Ha", "given" : "Taekjip", "non-dropping-particle" : "", "parse-names" : false, "suffix" : "" }, { "dropping-particle" : "", "family" : "Hopfner", "given" : "Karl-Peter", "non-dropping-particle" : "", "parse-names" : false, "suffix" : "" }, { "dropping-particle" : "", "family" : "Jung", "given" : "Jae U", "non-dropping-particle" : "", "parse-names" : false, "suffix" : "" } ], "container-title" : "Proceedings of the National Academy of Sciences of the United States of America", "id" : "ITEM-1", "issue" : "43", "issued" : { "date-parts" : [ [ "2008", "10", "28" ] ] }, "page" : "16743-8", "publisher" : "National Academy of Sciences", "title" : "Roles of RIG-I N-terminal tandem CARD and splice variant in TRIM25-mediated antiviral signal transduction.", "type" : "article-journal", "volume" : "105" }, "uris" : [ "http://www.mendeley.com/documents/?uuid=c088ca0f-32be-372a-af25-242917e926aa" ] } ], "mendeley" : { "formattedCitation" : "(Gack &lt;i&gt;et al.&lt;/i&gt; 2008)", "plainTextFormattedCitation" : "(Gack et al. 2008)", "previouslyFormattedCitation" : "(Gack &lt;i&gt;et al.&lt;/i&gt; 2008)" }, "properties" : {  }, "schema" : "https://github.com/citation-style-language/schema/raw/master/csl-citation.json" }</w:instrText>
      </w:r>
      <w:r w:rsidR="006D1A44">
        <w:rPr>
          <w:rFonts w:eastAsia="Times New Roman"/>
          <w:color w:val="212121"/>
          <w:shd w:val="clear" w:color="auto" w:fill="FFFFFF"/>
        </w:rPr>
        <w:fldChar w:fldCharType="separate"/>
      </w:r>
      <w:r w:rsidR="00786471" w:rsidRPr="008E14A5">
        <w:rPr>
          <w:rFonts w:eastAsia="Times New Roman"/>
          <w:noProof/>
          <w:color w:val="212121"/>
          <w:shd w:val="clear" w:color="auto" w:fill="FFFFFF"/>
        </w:rPr>
        <w:t xml:space="preserve">(Gack </w:t>
      </w:r>
      <w:r w:rsidR="00786471" w:rsidRPr="008E14A5">
        <w:rPr>
          <w:rFonts w:eastAsia="Times New Roman"/>
          <w:i/>
          <w:noProof/>
          <w:color w:val="212121"/>
          <w:shd w:val="clear" w:color="auto" w:fill="FFFFFF"/>
        </w:rPr>
        <w:t>et al.</w:t>
      </w:r>
      <w:r w:rsidR="00786471" w:rsidRPr="008E14A5">
        <w:rPr>
          <w:rFonts w:eastAsia="Times New Roman"/>
          <w:noProof/>
          <w:color w:val="212121"/>
          <w:shd w:val="clear" w:color="auto" w:fill="FFFFFF"/>
        </w:rPr>
        <w:t xml:space="preserve"> 2008)</w:t>
      </w:r>
      <w:r w:rsidR="006D1A44">
        <w:rPr>
          <w:rFonts w:eastAsia="Times New Roman"/>
          <w:color w:val="212121"/>
          <w:shd w:val="clear" w:color="auto" w:fill="FFFFFF"/>
        </w:rPr>
        <w:fldChar w:fldCharType="end"/>
      </w:r>
      <w:r w:rsidR="00786471">
        <w:rPr>
          <w:rFonts w:eastAsia="Times New Roman"/>
        </w:rPr>
        <w:t>.</w:t>
      </w:r>
      <w:r>
        <w:rPr>
          <w:rFonts w:eastAsia="Times New Roman"/>
        </w:rPr>
        <w:t xml:space="preserve"> </w:t>
      </w:r>
      <w:r w:rsidR="00691B1E">
        <w:rPr>
          <w:rFonts w:eastAsia="Times New Roman"/>
        </w:rPr>
        <w:t>In the PWGS, he majority of the SNPs with significant allele frequency differences between the resistant and susceptible pools were annotated as ‘intergenic’. However, i</w:t>
      </w:r>
      <w:r>
        <w:rPr>
          <w:rFonts w:eastAsia="Times New Roman"/>
        </w:rPr>
        <w:t xml:space="preserve">nterestingly, a </w:t>
      </w:r>
      <w:r w:rsidR="000A6F42">
        <w:rPr>
          <w:rFonts w:eastAsia="Times New Roman"/>
        </w:rPr>
        <w:t xml:space="preserve">putative </w:t>
      </w:r>
      <w:r>
        <w:rPr>
          <w:rFonts w:eastAsia="Times New Roman"/>
        </w:rPr>
        <w:t xml:space="preserve">premature stop mutation in </w:t>
      </w:r>
      <w:r w:rsidR="003B1DED">
        <w:rPr>
          <w:rFonts w:eastAsia="Times New Roman"/>
        </w:rPr>
        <w:t>position 258 of the carp TRIM25 protein</w:t>
      </w:r>
      <w:r w:rsidR="00691B1E">
        <w:rPr>
          <w:rFonts w:eastAsia="Times New Roman"/>
        </w:rPr>
        <w:t xml:space="preserve"> was identified</w:t>
      </w:r>
      <w:r>
        <w:rPr>
          <w:rFonts w:eastAsia="Times New Roman"/>
        </w:rPr>
        <w:t>.</w:t>
      </w:r>
      <w:r w:rsidR="003B1DED">
        <w:rPr>
          <w:rFonts w:eastAsia="Times New Roman"/>
        </w:rPr>
        <w:t xml:space="preserve"> TRIM25 has 649</w:t>
      </w:r>
      <w:r w:rsidR="000A6F42">
        <w:rPr>
          <w:rFonts w:eastAsia="Times New Roman"/>
        </w:rPr>
        <w:t xml:space="preserve"> </w:t>
      </w:r>
      <w:r w:rsidR="003B1DED">
        <w:rPr>
          <w:rFonts w:eastAsia="Times New Roman"/>
        </w:rPr>
        <w:t>-</w:t>
      </w:r>
      <w:r w:rsidR="000A6F42">
        <w:rPr>
          <w:rFonts w:eastAsia="Times New Roman"/>
        </w:rPr>
        <w:t xml:space="preserve"> 6</w:t>
      </w:r>
      <w:r w:rsidR="003B1DED">
        <w:rPr>
          <w:rFonts w:eastAsia="Times New Roman"/>
        </w:rPr>
        <w:t>82 amino</w:t>
      </w:r>
      <w:r w:rsidR="000A6F42">
        <w:rPr>
          <w:rFonts w:eastAsia="Times New Roman"/>
        </w:rPr>
        <w:t xml:space="preserve"> </w:t>
      </w:r>
      <w:r w:rsidR="003B1DED">
        <w:rPr>
          <w:rFonts w:eastAsia="Times New Roman"/>
        </w:rPr>
        <w:t>acids (isoform dependant), and therefore this stop mutation is highly likely to result in loss of function.</w:t>
      </w:r>
      <w:r w:rsidR="000C1B04">
        <w:rPr>
          <w:rFonts w:eastAsia="Times New Roman"/>
        </w:rPr>
        <w:t xml:space="preserve"> </w:t>
      </w:r>
      <w:r w:rsidR="000A6F42">
        <w:rPr>
          <w:rFonts w:eastAsia="Times New Roman"/>
        </w:rPr>
        <w:t xml:space="preserve">The premature stop causing allele is rare in the population, but reads of this allele were more common in the susceptible (n = 11) than the resistance (n = 3) pools, albeit </w:t>
      </w:r>
      <w:r w:rsidR="000C1B04">
        <w:rPr>
          <w:rFonts w:eastAsia="Times New Roman"/>
        </w:rPr>
        <w:t xml:space="preserve">the </w:t>
      </w:r>
      <w:r w:rsidR="000C1B04">
        <w:t xml:space="preserve">Cochran-Mantel-Haenszel test p-value </w:t>
      </w:r>
      <w:r w:rsidR="000A6F42">
        <w:t xml:space="preserve">for this SNP was only nominaly significant </w:t>
      </w:r>
      <w:r w:rsidR="000C1B04">
        <w:t>(0.049)</w:t>
      </w:r>
      <w:r w:rsidR="00691B1E">
        <w:t xml:space="preserve">. </w:t>
      </w:r>
      <w:r w:rsidR="000C1B04">
        <w:rPr>
          <w:rFonts w:eastAsia="Times New Roman"/>
        </w:rPr>
        <w:t xml:space="preserve">This </w:t>
      </w:r>
      <w:r w:rsidR="00691B1E">
        <w:rPr>
          <w:rFonts w:eastAsia="Times New Roman"/>
        </w:rPr>
        <w:t xml:space="preserve">may </w:t>
      </w:r>
      <w:r w:rsidR="000C1B04">
        <w:rPr>
          <w:rFonts w:eastAsia="Times New Roman"/>
        </w:rPr>
        <w:t>fit with a loss of function of TRIM25 in susceptible fish, being unable to trigger an appropriate antiviral response</w:t>
      </w:r>
      <w:r w:rsidR="00691B1E">
        <w:rPr>
          <w:rFonts w:eastAsia="Times New Roman"/>
        </w:rPr>
        <w:t>.</w:t>
      </w:r>
    </w:p>
    <w:p w14:paraId="6DA6AD4D" w14:textId="77777777" w:rsidR="00437FF2" w:rsidRDefault="00437FF2" w:rsidP="00914E8F">
      <w:pPr>
        <w:spacing w:line="480" w:lineRule="auto"/>
        <w:jc w:val="both"/>
      </w:pPr>
    </w:p>
    <w:p w14:paraId="2E534368" w14:textId="597F7AE1" w:rsidR="00452C10" w:rsidRDefault="00827244">
      <w:pPr>
        <w:spacing w:line="480" w:lineRule="auto"/>
        <w:jc w:val="both"/>
      </w:pPr>
      <w:r>
        <w:t>It will be interesting to study whether this single genome-wide significant QTL for resistance to KHV has an effect in other carp populations and strains. Follow up</w:t>
      </w:r>
      <w:r w:rsidR="007D6AB3">
        <w:t xml:space="preserve"> functional studies</w:t>
      </w:r>
      <w:r>
        <w:t xml:space="preserve"> of candidate genes in the QTL region, including assessment of gene expression response to infection and the differential response between alternate QTL types, may be a fruitful avenue to shortlist functional candidate genes</w:t>
      </w:r>
      <w:r w:rsidR="005D018A">
        <w:t xml:space="preserve">. Currently, </w:t>
      </w:r>
      <w:r w:rsidR="007D6AB3">
        <w:t>TRIM25 and its premature stop mutation seem to be the most promising candidates</w:t>
      </w:r>
      <w:r w:rsidR="00691B1E">
        <w:t xml:space="preserve">, and additional genotyping of this SNP alongside directed functional studies may help to test if it may be causative for the QTL. </w:t>
      </w:r>
      <w:r w:rsidR="00D0656E">
        <w:t xml:space="preserve">While the QTL identified in the current study was highly significant, the proportion of genetic variation </w:t>
      </w:r>
      <w:r w:rsidR="00D0656E">
        <w:lastRenderedPageBreak/>
        <w:t xml:space="preserve">explained was relatively moderate, implying multifactorial causal mechanisms underlying host resistance. Nonetheless, </w:t>
      </w:r>
      <w:r>
        <w:t xml:space="preserve">it is plausible that genetic markers within the QTL region may have value for marker-assisted selection, either directly or via a genomic prediction strategy with increased weighting on QTL-region SNPs. </w:t>
      </w:r>
    </w:p>
    <w:p w14:paraId="4B4DBDEE" w14:textId="77777777" w:rsidR="001A607F" w:rsidRDefault="001A607F" w:rsidP="005754DE">
      <w:pPr>
        <w:spacing w:line="480" w:lineRule="auto"/>
        <w:jc w:val="both"/>
      </w:pPr>
    </w:p>
    <w:p w14:paraId="007C2271" w14:textId="77777777" w:rsidR="001A607F" w:rsidRPr="001A607F" w:rsidRDefault="001A607F" w:rsidP="005754DE">
      <w:pPr>
        <w:spacing w:line="480" w:lineRule="auto"/>
        <w:jc w:val="both"/>
        <w:rPr>
          <w:b/>
        </w:rPr>
      </w:pPr>
      <w:r w:rsidRPr="001A607F">
        <w:rPr>
          <w:b/>
        </w:rPr>
        <w:t>Conclusions</w:t>
      </w:r>
    </w:p>
    <w:p w14:paraId="3541E766" w14:textId="77777777" w:rsidR="00452C10" w:rsidRPr="00A64D17" w:rsidRDefault="003A7E32" w:rsidP="008975F4">
      <w:pPr>
        <w:widowControl w:val="0"/>
        <w:autoSpaceDE w:val="0"/>
        <w:autoSpaceDN w:val="0"/>
        <w:adjustRightInd w:val="0"/>
        <w:spacing w:after="240" w:line="480" w:lineRule="auto"/>
        <w:jc w:val="both"/>
      </w:pPr>
      <w:r>
        <w:t xml:space="preserve">In conclusion, the results from the </w:t>
      </w:r>
      <w:r w:rsidR="00452C10">
        <w:t>current study demonstrate tha</w:t>
      </w:r>
      <w:r w:rsidR="0049110F">
        <w:t>t SNP markers generated via RAD</w:t>
      </w:r>
      <w:r w:rsidR="00452C10">
        <w:t xml:space="preserve">seq are effective at </w:t>
      </w:r>
      <w:r w:rsidR="00E87BCE">
        <w:t xml:space="preserve">studying </w:t>
      </w:r>
      <w:r w:rsidR="00CE77AD">
        <w:t xml:space="preserve">the genetic variation </w:t>
      </w:r>
      <w:r>
        <w:t xml:space="preserve">in resistance to KHV in a common </w:t>
      </w:r>
      <w:r w:rsidR="00E76B1C">
        <w:t>carp</w:t>
      </w:r>
      <w:r w:rsidR="00BA250A">
        <w:t xml:space="preserve"> </w:t>
      </w:r>
      <w:r w:rsidR="00452C10">
        <w:t>breeding population</w:t>
      </w:r>
      <w:r w:rsidR="008975F4">
        <w:t xml:space="preserve">. </w:t>
      </w:r>
      <w:r>
        <w:t xml:space="preserve">The </w:t>
      </w:r>
      <w:r w:rsidR="00CE77AD">
        <w:t>RAD</w:t>
      </w:r>
      <w:r>
        <w:t>-</w:t>
      </w:r>
      <w:r w:rsidR="00CE77AD">
        <w:t xml:space="preserve">derived SNPs </w:t>
      </w:r>
      <w:r>
        <w:t>facilitate</w:t>
      </w:r>
      <w:r w:rsidR="0049110F">
        <w:t>d</w:t>
      </w:r>
      <w:r>
        <w:t xml:space="preserve"> </w:t>
      </w:r>
      <w:r w:rsidR="00CC56D1">
        <w:t xml:space="preserve">the identification of </w:t>
      </w:r>
      <w:r w:rsidR="00E87BCE">
        <w:t xml:space="preserve">a </w:t>
      </w:r>
      <w:r w:rsidR="00CC56D1">
        <w:t>genome-wide significant QT</w:t>
      </w:r>
      <w:r w:rsidR="00181BAB">
        <w:t xml:space="preserve">L </w:t>
      </w:r>
      <w:r w:rsidR="00D0656E">
        <w:t xml:space="preserve">on LG 44 </w:t>
      </w:r>
      <w:r w:rsidR="00181BAB">
        <w:t>affecting resistance to KHV.</w:t>
      </w:r>
      <w:r w:rsidR="00452C10">
        <w:t xml:space="preserve"> </w:t>
      </w:r>
      <w:r w:rsidR="00D0656E">
        <w:t>The sequencing and annotation of the QTL regions provided candidate functional genes and polymorphisms for future study to understand the mechanisms underlying the QTL. This QTL may have value for selective breeding via incorporation into marker-assisted or genomic selection, albeit genetic resistance to KHV in common carp appears to be multifactorial in nature.</w:t>
      </w:r>
    </w:p>
    <w:p w14:paraId="3C56FD30" w14:textId="77777777" w:rsidR="00135B5E" w:rsidRDefault="00135B5E" w:rsidP="00E76B1C">
      <w:pPr>
        <w:outlineLvl w:val="0"/>
        <w:rPr>
          <w:sz w:val="28"/>
          <w:szCs w:val="28"/>
        </w:rPr>
      </w:pPr>
    </w:p>
    <w:p w14:paraId="703BE434" w14:textId="77777777" w:rsidR="00063B89" w:rsidRPr="00605448" w:rsidRDefault="00063B89" w:rsidP="00063B89">
      <w:pPr>
        <w:jc w:val="both"/>
        <w:rPr>
          <w:b/>
        </w:rPr>
      </w:pPr>
      <w:r w:rsidRPr="00605448">
        <w:rPr>
          <w:b/>
        </w:rPr>
        <w:t>Competing interests</w:t>
      </w:r>
    </w:p>
    <w:p w14:paraId="44AE853E" w14:textId="77777777" w:rsidR="00063B89" w:rsidRDefault="00063B89" w:rsidP="00063B89">
      <w:pPr>
        <w:jc w:val="both"/>
      </w:pPr>
    </w:p>
    <w:p w14:paraId="763A7A28" w14:textId="77777777" w:rsidR="00063B89" w:rsidRDefault="00063B89" w:rsidP="00063B89">
      <w:r>
        <w:t>The authors declare that they have no competing interests</w:t>
      </w:r>
    </w:p>
    <w:p w14:paraId="3C6D3A2E" w14:textId="77777777" w:rsidR="00063B89" w:rsidRDefault="00063B89" w:rsidP="00063B89"/>
    <w:p w14:paraId="455DD50C" w14:textId="77777777" w:rsidR="00063B89" w:rsidRDefault="00063B89" w:rsidP="00063B89"/>
    <w:p w14:paraId="3BC2FB23" w14:textId="77777777" w:rsidR="00BB67B1" w:rsidRDefault="00BB67B1" w:rsidP="00BB67B1">
      <w:pPr>
        <w:rPr>
          <w:b/>
        </w:rPr>
      </w:pPr>
      <w:r w:rsidRPr="00443165">
        <w:rPr>
          <w:b/>
        </w:rPr>
        <w:t>Author contributions</w:t>
      </w:r>
    </w:p>
    <w:p w14:paraId="42293605" w14:textId="77777777" w:rsidR="00BB67B1" w:rsidRDefault="00BB67B1" w:rsidP="00BB67B1">
      <w:pPr>
        <w:jc w:val="both"/>
        <w:rPr>
          <w:b/>
        </w:rPr>
      </w:pPr>
      <w:r>
        <w:rPr>
          <w:rFonts w:ascii="Times" w:hAnsi="Times" w:cs="Times"/>
        </w:rPr>
        <w:t>TV, MK, MP, VP, RH conceived the study, contributed to designing the experimental structure. MK, MP, VP share on establishing and on-growing the experimental stock, P.I.T. tagging and fin clipping the fish. TV, DP, LP carried out the own KHV challenge experiment. CP carried out DNA extractions, RAD library preparation and sequence data processing. CP. and RH carried out parentage assignment and the quantitative genetic analyses. All authors contributed to drafting the manuscript.</w:t>
      </w:r>
    </w:p>
    <w:p w14:paraId="420A4285" w14:textId="77777777" w:rsidR="00BB67B1" w:rsidRPr="00443165" w:rsidRDefault="00BB67B1" w:rsidP="00BB67B1">
      <w:pPr>
        <w:rPr>
          <w:b/>
        </w:rPr>
      </w:pPr>
    </w:p>
    <w:p w14:paraId="1EA6C6F4" w14:textId="77777777" w:rsidR="00BB67B1" w:rsidRPr="00EE6B38" w:rsidRDefault="00BB67B1" w:rsidP="00BB67B1">
      <w:pPr>
        <w:jc w:val="both"/>
        <w:outlineLvl w:val="0"/>
        <w:rPr>
          <w:b/>
        </w:rPr>
      </w:pPr>
      <w:r w:rsidRPr="00EE6B38">
        <w:rPr>
          <w:b/>
        </w:rPr>
        <w:t>ACKNOWLEDGEMENTS</w:t>
      </w:r>
    </w:p>
    <w:p w14:paraId="7F2B41EC" w14:textId="77777777" w:rsidR="00BB67B1" w:rsidRDefault="00BB67B1" w:rsidP="00BB67B1">
      <w:pPr>
        <w:jc w:val="both"/>
        <w:rPr>
          <w:rFonts w:ascii="Times" w:hAnsi="Times" w:cs="Times"/>
        </w:rPr>
      </w:pPr>
      <w:r w:rsidRPr="00EE6B38">
        <w:t>The authors are supported by funding from the European Union’s Seventh Framework Programme (FP7 2007-2013) under grant agreement no. 613611 (FISHBOOST).</w:t>
      </w:r>
      <w:r>
        <w:t xml:space="preserve"> </w:t>
      </w:r>
      <w:r>
        <w:rPr>
          <w:rFonts w:ascii="Times" w:hAnsi="Times" w:cs="Times"/>
        </w:rPr>
        <w:t xml:space="preserve">MK, MP, VP were also supported </w:t>
      </w:r>
      <w:r w:rsidRPr="00276D29">
        <w:rPr>
          <w:rFonts w:ascii="Times" w:hAnsi="Times" w:cs="Times"/>
        </w:rPr>
        <w:t>by the Ministry of Education, Youth, and Sports of the Czech Republic (projects CENAKVA – CZ.1.05/2.1.00/01.0024 and CENAKVA II – LO1205 under the NPU I program)</w:t>
      </w:r>
      <w:r>
        <w:rPr>
          <w:rFonts w:ascii="Times" w:hAnsi="Times" w:cs="Times"/>
        </w:rPr>
        <w:t xml:space="preserve"> and </w:t>
      </w:r>
      <w:r w:rsidRPr="00276D29">
        <w:rPr>
          <w:rFonts w:ascii="Times" w:hAnsi="Times" w:cs="Times"/>
        </w:rPr>
        <w:t xml:space="preserve">the Grant Agency of the University of South Bohemia (project no. 125/2016/Z). </w:t>
      </w:r>
      <w:r>
        <w:rPr>
          <w:rFonts w:ascii="Times" w:hAnsi="Times" w:cs="Times"/>
        </w:rPr>
        <w:t xml:space="preserve">  </w:t>
      </w:r>
    </w:p>
    <w:p w14:paraId="398CFF49" w14:textId="77777777" w:rsidR="00DF0BC7" w:rsidRDefault="00DF0BC7" w:rsidP="00E76B1C">
      <w:pPr>
        <w:outlineLvl w:val="0"/>
        <w:rPr>
          <w:sz w:val="28"/>
          <w:szCs w:val="28"/>
        </w:rPr>
      </w:pPr>
    </w:p>
    <w:p w14:paraId="085DD751" w14:textId="77777777" w:rsidR="001C4405" w:rsidRPr="001C4405" w:rsidRDefault="001C4405" w:rsidP="00E76B1C">
      <w:pPr>
        <w:outlineLvl w:val="0"/>
        <w:rPr>
          <w:sz w:val="28"/>
          <w:szCs w:val="28"/>
        </w:rPr>
      </w:pPr>
      <w:r w:rsidRPr="001C4405">
        <w:rPr>
          <w:sz w:val="28"/>
          <w:szCs w:val="28"/>
        </w:rPr>
        <w:lastRenderedPageBreak/>
        <w:t>References</w:t>
      </w:r>
    </w:p>
    <w:p w14:paraId="1319FB45" w14:textId="77777777" w:rsidR="006F785D" w:rsidRPr="006F785D" w:rsidRDefault="006D1A44" w:rsidP="006F785D">
      <w:pPr>
        <w:widowControl w:val="0"/>
        <w:autoSpaceDE w:val="0"/>
        <w:autoSpaceDN w:val="0"/>
        <w:adjustRightInd w:val="0"/>
        <w:ind w:left="480" w:hanging="480"/>
        <w:rPr>
          <w:noProof/>
        </w:rPr>
      </w:pPr>
      <w:r>
        <w:fldChar w:fldCharType="begin" w:fldLock="1"/>
      </w:r>
      <w:r w:rsidR="009A795F">
        <w:instrText xml:space="preserve">ADDIN Mendeley Bibliography CSL_BIBLIOGRAPHY </w:instrText>
      </w:r>
      <w:r>
        <w:fldChar w:fldCharType="separate"/>
      </w:r>
      <w:r w:rsidR="006F785D" w:rsidRPr="006F785D">
        <w:rPr>
          <w:noProof/>
        </w:rPr>
        <w:t>Aguilar, I., I. Misztal, A. Legarra, and S. Tsuruta, 2011 Efficient computation of the genomic relationship matrix and other matrices used in single-step evaluation. Journal of Animal Breeding and Genetics 128: 422–428.</w:t>
      </w:r>
    </w:p>
    <w:p w14:paraId="66C94C6C"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Baird, N. a, P. D. Etter, T. S. Atwood, M. C. Currey, A. L. Shiver </w:t>
      </w:r>
      <w:r w:rsidRPr="006F785D">
        <w:rPr>
          <w:i/>
          <w:iCs/>
          <w:noProof/>
        </w:rPr>
        <w:t>et al.</w:t>
      </w:r>
      <w:r w:rsidRPr="006F785D">
        <w:rPr>
          <w:noProof/>
        </w:rPr>
        <w:t>, 2008 Rapid SNP discovery and genetic mapping using sequenced RAD markers. PloS one 3: e3376.</w:t>
      </w:r>
    </w:p>
    <w:p w14:paraId="5385BA94"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Balon, E. K., 1995 Origin and domestication of the wild carp, </w:t>
      </w:r>
      <w:r w:rsidRPr="00AE0735">
        <w:rPr>
          <w:i/>
          <w:noProof/>
        </w:rPr>
        <w:t>Cyprinus carpio</w:t>
      </w:r>
      <w:r w:rsidRPr="006F785D">
        <w:rPr>
          <w:noProof/>
        </w:rPr>
        <w:t>: from Roman gourmets to the swimming flowers. Aquaculture 129: 3–48.</w:t>
      </w:r>
    </w:p>
    <w:p w14:paraId="4C539675"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Barria, A., K. A. Christensen, K. Correa, A. Jedlicki, J. P. Lhorente </w:t>
      </w:r>
      <w:r w:rsidRPr="006F785D">
        <w:rPr>
          <w:i/>
          <w:iCs/>
          <w:noProof/>
        </w:rPr>
        <w:t>et al.</w:t>
      </w:r>
      <w:r w:rsidRPr="006F785D">
        <w:rPr>
          <w:noProof/>
        </w:rPr>
        <w:t>, 2017 Genome-Wide Association Study And Genomic Predictions For Resistance Against Piscirickettsia salmonis In Coho Salmon (</w:t>
      </w:r>
      <w:r w:rsidRPr="00AE0735">
        <w:rPr>
          <w:i/>
          <w:noProof/>
        </w:rPr>
        <w:t>Oncorhynchus kisutch</w:t>
      </w:r>
      <w:r w:rsidRPr="006F785D">
        <w:rPr>
          <w:noProof/>
        </w:rPr>
        <w:t>) Using ddRAD Sequencing. bioRxiv.</w:t>
      </w:r>
    </w:p>
    <w:p w14:paraId="3DBFE66A" w14:textId="77777777" w:rsidR="006F785D" w:rsidRPr="006F785D" w:rsidRDefault="006F785D" w:rsidP="006F785D">
      <w:pPr>
        <w:widowControl w:val="0"/>
        <w:autoSpaceDE w:val="0"/>
        <w:autoSpaceDN w:val="0"/>
        <w:adjustRightInd w:val="0"/>
        <w:ind w:left="480" w:hanging="480"/>
        <w:rPr>
          <w:noProof/>
        </w:rPr>
      </w:pPr>
      <w:r w:rsidRPr="006F785D">
        <w:rPr>
          <w:noProof/>
        </w:rPr>
        <w:t>Bishop, S. C., and J. A. Woolliams, 2014 Genomics and disease resistance studies in livestock. Livestock science 166: 190–198.</w:t>
      </w:r>
    </w:p>
    <w:p w14:paraId="05F7372B" w14:textId="77777777" w:rsidR="006F785D" w:rsidRPr="006F785D" w:rsidRDefault="006F785D" w:rsidP="006F785D">
      <w:pPr>
        <w:widowControl w:val="0"/>
        <w:autoSpaceDE w:val="0"/>
        <w:autoSpaceDN w:val="0"/>
        <w:adjustRightInd w:val="0"/>
        <w:ind w:left="480" w:hanging="480"/>
        <w:rPr>
          <w:noProof/>
        </w:rPr>
      </w:pPr>
      <w:r w:rsidRPr="006F785D">
        <w:rPr>
          <w:noProof/>
        </w:rPr>
        <w:t>Bolger, A. M., M. Lohse, and B. Usadel, 2014 Trimmomatic: a flexible trimmer for Illumina sequence data. Bioinformatics 30: 2114–2120.</w:t>
      </w:r>
    </w:p>
    <w:p w14:paraId="780C2B1C" w14:textId="77777777" w:rsidR="006F785D" w:rsidRPr="006F785D" w:rsidRDefault="006F785D" w:rsidP="006F785D">
      <w:pPr>
        <w:widowControl w:val="0"/>
        <w:autoSpaceDE w:val="0"/>
        <w:autoSpaceDN w:val="0"/>
        <w:adjustRightInd w:val="0"/>
        <w:ind w:left="480" w:hanging="480"/>
        <w:rPr>
          <w:noProof/>
        </w:rPr>
      </w:pPr>
      <w:r w:rsidRPr="006F785D">
        <w:rPr>
          <w:noProof/>
        </w:rPr>
        <w:t>Campbell, N. R., S. E. LaPatra, K. Overturf, R. Towner, and S. R. Narum, 2014 Association mapping of disease resistance traits in rainbow trout using restriction sit</w:t>
      </w:r>
      <w:r w:rsidR="001A4BC1">
        <w:rPr>
          <w:noProof/>
        </w:rPr>
        <w:t>e associated DNA sequencing. G3</w:t>
      </w:r>
      <w:r w:rsidRPr="006F785D">
        <w:rPr>
          <w:noProof/>
        </w:rPr>
        <w:t xml:space="preserve"> 4: 2473–81.</w:t>
      </w:r>
    </w:p>
    <w:p w14:paraId="05DEBDBF" w14:textId="77777777" w:rsidR="006F785D" w:rsidRPr="006F785D" w:rsidRDefault="006F785D" w:rsidP="006F785D">
      <w:pPr>
        <w:widowControl w:val="0"/>
        <w:autoSpaceDE w:val="0"/>
        <w:autoSpaceDN w:val="0"/>
        <w:adjustRightInd w:val="0"/>
        <w:ind w:left="480" w:hanging="480"/>
        <w:rPr>
          <w:noProof/>
        </w:rPr>
      </w:pPr>
      <w:r w:rsidRPr="006F785D">
        <w:rPr>
          <w:noProof/>
        </w:rPr>
        <w:t>Catchen, J. M., A. Amores, P. Hohenlohe, W. Cresko, and J. H. Postlethwait, 2011 Stacks: building and genotyping Loci de nov</w:t>
      </w:r>
      <w:r w:rsidR="00F80B7B">
        <w:rPr>
          <w:noProof/>
        </w:rPr>
        <w:t>o from short-read sequences. G3</w:t>
      </w:r>
      <w:r w:rsidRPr="006F785D">
        <w:rPr>
          <w:noProof/>
        </w:rPr>
        <w:t xml:space="preserve"> 1: 171–82.</w:t>
      </w:r>
    </w:p>
    <w:p w14:paraId="4D220381"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Chen, H., C. Wang, M. P. Conomos, A. M. Stilp, Z. Li </w:t>
      </w:r>
      <w:r w:rsidRPr="006F785D">
        <w:rPr>
          <w:i/>
          <w:iCs/>
          <w:noProof/>
        </w:rPr>
        <w:t>et al.</w:t>
      </w:r>
      <w:r w:rsidRPr="006F785D">
        <w:rPr>
          <w:noProof/>
        </w:rPr>
        <w:t>, 2016 Control for Population Structure and Relatedness for Binary Traits in Genetic Association Studies via Logistic Mixed Models. American Journal of Human Genetics 98: 653–666.</w:t>
      </w:r>
    </w:p>
    <w:p w14:paraId="2CED51C4"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Cingolani, P., A. Platts, L. L. Wang, M. Coon, T. Nguyen </w:t>
      </w:r>
      <w:r w:rsidRPr="006F785D">
        <w:rPr>
          <w:i/>
          <w:iCs/>
          <w:noProof/>
        </w:rPr>
        <w:t>et al.</w:t>
      </w:r>
      <w:r w:rsidRPr="006F785D">
        <w:rPr>
          <w:noProof/>
        </w:rPr>
        <w:t>, 2012 A program for annotating and predicting the effects of single nucleotide polymorphisms, SnpEff. Fly 6: 80–92.</w:t>
      </w:r>
    </w:p>
    <w:p w14:paraId="2766A73E" w14:textId="77777777" w:rsidR="006F785D" w:rsidRDefault="006F785D" w:rsidP="006F785D">
      <w:pPr>
        <w:widowControl w:val="0"/>
        <w:autoSpaceDE w:val="0"/>
        <w:autoSpaceDN w:val="0"/>
        <w:adjustRightInd w:val="0"/>
        <w:ind w:left="480" w:hanging="480"/>
        <w:rPr>
          <w:noProof/>
        </w:rPr>
      </w:pPr>
      <w:r w:rsidRPr="006F785D">
        <w:rPr>
          <w:noProof/>
        </w:rPr>
        <w:t xml:space="preserve">Dixon, P. F., C. L. Joiner, K. Way, R. A. Reese, G. Jeney </w:t>
      </w:r>
      <w:r w:rsidRPr="006F785D">
        <w:rPr>
          <w:i/>
          <w:iCs/>
          <w:noProof/>
        </w:rPr>
        <w:t>et al.</w:t>
      </w:r>
      <w:r w:rsidRPr="006F785D">
        <w:rPr>
          <w:noProof/>
        </w:rPr>
        <w:t xml:space="preserve">, 2009 Comparison of the resistance of selected families of common carp, </w:t>
      </w:r>
      <w:r w:rsidRPr="006F785D">
        <w:rPr>
          <w:i/>
          <w:iCs/>
          <w:noProof/>
        </w:rPr>
        <w:t>Cyprinus carpio</w:t>
      </w:r>
      <w:r w:rsidRPr="006F785D">
        <w:rPr>
          <w:noProof/>
        </w:rPr>
        <w:t xml:space="preserve"> L., to koi herpesvirus: preliminary study. Journal of Fish Diseases 32: 1035–1039.</w:t>
      </w:r>
    </w:p>
    <w:p w14:paraId="282AC39A" w14:textId="77777777" w:rsidR="00F51990" w:rsidRPr="006F785D" w:rsidRDefault="00F51990" w:rsidP="00F51990">
      <w:pPr>
        <w:widowControl w:val="0"/>
        <w:autoSpaceDE w:val="0"/>
        <w:autoSpaceDN w:val="0"/>
        <w:adjustRightInd w:val="0"/>
        <w:spacing w:after="240"/>
        <w:ind w:left="567" w:hanging="567"/>
        <w:contextualSpacing/>
        <w:rPr>
          <w:noProof/>
        </w:rPr>
      </w:pPr>
      <w:r w:rsidRPr="00A076B1">
        <w:t xml:space="preserve">FAO Fisheries </w:t>
      </w:r>
      <w:r>
        <w:t>and Aquaculture Department. 2016</w:t>
      </w:r>
      <w:r w:rsidRPr="00A076B1">
        <w:t>. FishStat database. Available: http://faostat.fao.org/site/629/default.aspx. [ftp://ftp.fao.org/FI/ STAT/summary/b-1.pdf]</w:t>
      </w:r>
      <w:r>
        <w:t>.</w:t>
      </w:r>
      <w:r w:rsidRPr="00A076B1">
        <w:t xml:space="preserve"> </w:t>
      </w:r>
    </w:p>
    <w:p w14:paraId="0B9EA8C4" w14:textId="77777777" w:rsidR="006F785D" w:rsidRPr="006F785D" w:rsidRDefault="006F785D" w:rsidP="006F785D">
      <w:pPr>
        <w:widowControl w:val="0"/>
        <w:autoSpaceDE w:val="0"/>
        <w:autoSpaceDN w:val="0"/>
        <w:adjustRightInd w:val="0"/>
        <w:ind w:left="480" w:hanging="480"/>
        <w:rPr>
          <w:noProof/>
        </w:rPr>
      </w:pPr>
      <w:r w:rsidRPr="006F785D">
        <w:rPr>
          <w:noProof/>
        </w:rPr>
        <w:t>Ferdosi, M. H., B. P. Kinghorn, J. H. J. van der Werf, S. H. Lee, and C. Gondro, 2014 hsphase: An R package for pedigree reconstruction, detection of recombination events, phasing and imputation of half-sib family groups. BMC Bioinformatics 15:</w:t>
      </w:r>
      <w:r w:rsidR="00504C82">
        <w:rPr>
          <w:noProof/>
        </w:rPr>
        <w:t>172</w:t>
      </w:r>
      <w:r w:rsidRPr="006F785D">
        <w:rPr>
          <w:noProof/>
        </w:rPr>
        <w:t>.</w:t>
      </w:r>
    </w:p>
    <w:p w14:paraId="60BD150F"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Gack, M. U., A. Kirchhofer, Y. C. Shin, K.-S. Inn, C. Liang </w:t>
      </w:r>
      <w:r w:rsidRPr="006F785D">
        <w:rPr>
          <w:i/>
          <w:iCs/>
          <w:noProof/>
        </w:rPr>
        <w:t>et al.</w:t>
      </w:r>
      <w:r w:rsidRPr="006F785D">
        <w:rPr>
          <w:noProof/>
        </w:rPr>
        <w:t>, 2008 Roles of RIG-I N-terminal tandem CARD and splice variant in TRIM25-mediated antiviral signal transduction. Proceedings of the National Academy of Sciences of the United States of America 105: 16743–8.</w:t>
      </w:r>
    </w:p>
    <w:p w14:paraId="50DDC095" w14:textId="77777777" w:rsidR="006F785D" w:rsidRPr="006F785D" w:rsidRDefault="006F785D" w:rsidP="006F785D">
      <w:pPr>
        <w:widowControl w:val="0"/>
        <w:autoSpaceDE w:val="0"/>
        <w:autoSpaceDN w:val="0"/>
        <w:adjustRightInd w:val="0"/>
        <w:ind w:left="480" w:hanging="480"/>
        <w:rPr>
          <w:noProof/>
        </w:rPr>
      </w:pPr>
      <w:r w:rsidRPr="006F785D">
        <w:rPr>
          <w:noProof/>
        </w:rPr>
        <w:t>Goldstein, H., W. Browne, and J. Rasbash, 2002 Partitioning Variation in Multilevel Models. Understanding Statistics 1: 223–231.</w:t>
      </w:r>
    </w:p>
    <w:p w14:paraId="6631EFB0"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Gupta, S., P. Ylä-Anttila, S. Callegari, M. H. Tsai, H. J. Delecluse </w:t>
      </w:r>
      <w:r w:rsidRPr="006F785D">
        <w:rPr>
          <w:i/>
          <w:iCs/>
          <w:noProof/>
        </w:rPr>
        <w:t>et al.</w:t>
      </w:r>
      <w:r w:rsidRPr="006F785D">
        <w:rPr>
          <w:noProof/>
        </w:rPr>
        <w:t xml:space="preserve">, 2018 Herpesvirus deconjugases inhibit the IFN response by promoting TRIM25 autoubiquitination and functional inactivation of the RIG-I </w:t>
      </w:r>
      <w:r w:rsidR="00AE0735">
        <w:rPr>
          <w:noProof/>
        </w:rPr>
        <w:t>signalosome. PLoS Pathogens 14.</w:t>
      </w:r>
    </w:p>
    <w:p w14:paraId="24C531CB"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Haenen, O. L. M., K. Way, S. M. Bergmann, and E. Ariel, 2004 The emergence of koi herpesvirus and its significance to European aquaculture. </w:t>
      </w:r>
      <w:r w:rsidR="00AE0735">
        <w:rPr>
          <w:noProof/>
        </w:rPr>
        <w:t>Bull. Eur. Ass. Fish Pathol 24.</w:t>
      </w:r>
    </w:p>
    <w:p w14:paraId="3C140014"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Hedrick, R. P., O. Gilad, S. Yun, J. V. Spangenberg, G. D. Marty </w:t>
      </w:r>
      <w:r w:rsidRPr="006F785D">
        <w:rPr>
          <w:i/>
          <w:iCs/>
          <w:noProof/>
        </w:rPr>
        <w:t>et al.</w:t>
      </w:r>
      <w:r w:rsidRPr="006F785D">
        <w:rPr>
          <w:noProof/>
        </w:rPr>
        <w:t>, 2000 A herpesvirus associated with mass mortality of juvenile and adult koi, a strain of common carp. Journal of Aquatic Animal Health 12: 44–57.</w:t>
      </w:r>
    </w:p>
    <w:p w14:paraId="6653D61B" w14:textId="77777777" w:rsidR="006F785D" w:rsidRPr="006F785D" w:rsidRDefault="006F785D" w:rsidP="006F785D">
      <w:pPr>
        <w:widowControl w:val="0"/>
        <w:autoSpaceDE w:val="0"/>
        <w:autoSpaceDN w:val="0"/>
        <w:adjustRightInd w:val="0"/>
        <w:ind w:left="480" w:hanging="480"/>
        <w:rPr>
          <w:noProof/>
        </w:rPr>
      </w:pPr>
      <w:r w:rsidRPr="006F785D">
        <w:rPr>
          <w:noProof/>
        </w:rPr>
        <w:lastRenderedPageBreak/>
        <w:t>Hervé</w:t>
      </w:r>
      <w:r w:rsidR="00AE0735">
        <w:rPr>
          <w:noProof/>
        </w:rPr>
        <w:t xml:space="preserve"> Perdry and</w:t>
      </w:r>
      <w:r w:rsidRPr="006F785D">
        <w:rPr>
          <w:noProof/>
        </w:rPr>
        <w:t xml:space="preserve"> Claire Dandine-Roulland gaston: Genetic Data Handling (QC, GRM, LD, PCA); Linear Mixe</w:t>
      </w:r>
      <w:r w:rsidR="00AE0735">
        <w:rPr>
          <w:noProof/>
        </w:rPr>
        <w:t>d Models version 1.5 from CRAN</w:t>
      </w:r>
      <w:r w:rsidR="00D82B17">
        <w:rPr>
          <w:noProof/>
        </w:rPr>
        <w:t xml:space="preserve"> (https://cran.r-project.org</w:t>
      </w:r>
      <w:r w:rsidR="00544E3B">
        <w:rPr>
          <w:noProof/>
        </w:rPr>
        <w:t>)</w:t>
      </w:r>
      <w:r w:rsidR="00AE0735">
        <w:rPr>
          <w:noProof/>
        </w:rPr>
        <w:t>.</w:t>
      </w:r>
    </w:p>
    <w:p w14:paraId="3949B7A7" w14:textId="77777777" w:rsidR="006F785D" w:rsidRPr="006F785D" w:rsidRDefault="006F785D" w:rsidP="006F785D">
      <w:pPr>
        <w:widowControl w:val="0"/>
        <w:autoSpaceDE w:val="0"/>
        <w:autoSpaceDN w:val="0"/>
        <w:adjustRightInd w:val="0"/>
        <w:ind w:left="480" w:hanging="480"/>
        <w:rPr>
          <w:noProof/>
        </w:rPr>
      </w:pPr>
      <w:r w:rsidRPr="006F785D">
        <w:rPr>
          <w:noProof/>
        </w:rPr>
        <w:t>Houston, R. D., and R. Brasileira De Zootecnia, 2017 Invited Review Future directions in breeding for disease resistance in aquaculture species. www.sbz.org.br R. Bras. Zootec 46: 545–551.</w:t>
      </w:r>
    </w:p>
    <w:p w14:paraId="5C176672"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Houston, R. D., C. S. Haley, A. Hamilton, D. R. Guy, A. E. Tinch </w:t>
      </w:r>
      <w:r w:rsidRPr="006F785D">
        <w:rPr>
          <w:i/>
          <w:iCs/>
          <w:noProof/>
        </w:rPr>
        <w:t>et al.</w:t>
      </w:r>
      <w:r w:rsidRPr="006F785D">
        <w:rPr>
          <w:noProof/>
        </w:rPr>
        <w:t>, 2008 Major quantitative trait loci affect resistance to infectious pancreatic necrosis in Atlantic salmon (</w:t>
      </w:r>
      <w:r w:rsidRPr="00AE0735">
        <w:rPr>
          <w:i/>
          <w:noProof/>
        </w:rPr>
        <w:t>Salmo salar</w:t>
      </w:r>
      <w:r w:rsidRPr="006F785D">
        <w:rPr>
          <w:noProof/>
        </w:rPr>
        <w:t>). Genetics 178: 1109–1115.</w:t>
      </w:r>
    </w:p>
    <w:p w14:paraId="08C20905" w14:textId="77777777" w:rsidR="006F785D" w:rsidRPr="006F785D" w:rsidRDefault="006F785D" w:rsidP="006F785D">
      <w:pPr>
        <w:widowControl w:val="0"/>
        <w:autoSpaceDE w:val="0"/>
        <w:autoSpaceDN w:val="0"/>
        <w:adjustRightInd w:val="0"/>
        <w:ind w:left="480" w:hanging="480"/>
        <w:rPr>
          <w:noProof/>
        </w:rPr>
      </w:pPr>
      <w:r w:rsidRPr="006F785D">
        <w:rPr>
          <w:noProof/>
        </w:rPr>
        <w:t>Hwang, J.-A., J. E. Kim, H.-S. Kim, and J.-H. Lee, 2017 Immune Response to Koi Herpesvirus (KHV) of Koi and Koi × Red Common Carp (</w:t>
      </w:r>
      <w:r w:rsidRPr="00AE0735">
        <w:rPr>
          <w:i/>
          <w:noProof/>
        </w:rPr>
        <w:t>Cyprinus carpio</w:t>
      </w:r>
      <w:r w:rsidRPr="006F785D">
        <w:rPr>
          <w:noProof/>
        </w:rPr>
        <w:t>). Development &amp; reproduction 21: 361–370.</w:t>
      </w:r>
    </w:p>
    <w:p w14:paraId="16E0C3FC" w14:textId="77777777" w:rsidR="006F785D" w:rsidRPr="006F785D" w:rsidRDefault="006F785D" w:rsidP="006F785D">
      <w:pPr>
        <w:widowControl w:val="0"/>
        <w:autoSpaceDE w:val="0"/>
        <w:autoSpaceDN w:val="0"/>
        <w:adjustRightInd w:val="0"/>
        <w:ind w:left="480" w:hanging="480"/>
        <w:rPr>
          <w:noProof/>
        </w:rPr>
      </w:pPr>
      <w:r w:rsidRPr="006F785D">
        <w:rPr>
          <w:noProof/>
        </w:rPr>
        <w:t>Janssen, K., H. Chavanne, P. Berentsen, and H. Komen, 2017 Impact of selective breeding on European aquaculture. Aquaculture 472: 8–16.</w:t>
      </w:r>
    </w:p>
    <w:p w14:paraId="47CB52BE" w14:textId="77777777" w:rsidR="006F785D" w:rsidRPr="006F785D" w:rsidRDefault="006F785D" w:rsidP="006F785D">
      <w:pPr>
        <w:widowControl w:val="0"/>
        <w:autoSpaceDE w:val="0"/>
        <w:autoSpaceDN w:val="0"/>
        <w:adjustRightInd w:val="0"/>
        <w:ind w:left="480" w:hanging="480"/>
        <w:rPr>
          <w:noProof/>
        </w:rPr>
      </w:pPr>
      <w:r w:rsidRPr="006F785D">
        <w:rPr>
          <w:noProof/>
        </w:rPr>
        <w:t>Kocour, M., D. Gela, M. Rodina, and O. Linhart, 2005 Testing of performance in common carp Cyprinus carpio L. under pond husbandry conditions I: top-crossing with Northern mirror carp. Aquaculture Research 36: 1207–1215.</w:t>
      </w:r>
    </w:p>
    <w:p w14:paraId="5E3225B4" w14:textId="41896AFD" w:rsidR="006F785D" w:rsidRDefault="006F785D" w:rsidP="006F785D">
      <w:pPr>
        <w:widowControl w:val="0"/>
        <w:autoSpaceDE w:val="0"/>
        <w:autoSpaceDN w:val="0"/>
        <w:adjustRightInd w:val="0"/>
        <w:ind w:left="480" w:hanging="480"/>
        <w:rPr>
          <w:noProof/>
        </w:rPr>
      </w:pPr>
      <w:r w:rsidRPr="006F785D">
        <w:rPr>
          <w:noProof/>
        </w:rPr>
        <w:t xml:space="preserve">Kocour, M., S. Mauger, M. Rodina, D. Gela, O. Linhart </w:t>
      </w:r>
      <w:r w:rsidRPr="006F785D">
        <w:rPr>
          <w:i/>
          <w:iCs/>
          <w:noProof/>
        </w:rPr>
        <w:t>et al.</w:t>
      </w:r>
      <w:r w:rsidRPr="006F785D">
        <w:rPr>
          <w:noProof/>
        </w:rPr>
        <w:t>, 2007 Heritability estimates for processing and quality traits in common carp (</w:t>
      </w:r>
      <w:r w:rsidRPr="00AE0735">
        <w:rPr>
          <w:i/>
          <w:noProof/>
        </w:rPr>
        <w:t>Cyprinus carpio</w:t>
      </w:r>
      <w:r w:rsidRPr="006F785D">
        <w:rPr>
          <w:noProof/>
        </w:rPr>
        <w:t xml:space="preserve"> L.) using a molecular pedigree. Aquaculture 270: 43–50.</w:t>
      </w:r>
    </w:p>
    <w:p w14:paraId="24C3AD6C" w14:textId="77777777" w:rsidR="00D44150" w:rsidRDefault="00D44150" w:rsidP="00D44150">
      <w:pPr>
        <w:pStyle w:val="CommentText"/>
        <w:spacing w:line="240" w:lineRule="auto"/>
        <w:ind w:left="425" w:hanging="425"/>
        <w:contextualSpacing/>
      </w:pPr>
      <w:r w:rsidRPr="00337B1B">
        <w:t>Kofler, R., Pandey, R. V. &amp; Schlötterer, C.</w:t>
      </w:r>
      <w:r>
        <w:t xml:space="preserve"> 2011</w:t>
      </w:r>
      <w:r w:rsidRPr="00337B1B">
        <w:t xml:space="preserve"> PoPoolation2: identifying differentiation between populations using sequencing of pooled DNA samples (Pool-Seq). Bioinformatics 27, 3435–3436</w:t>
      </w:r>
      <w:r>
        <w:t>.</w:t>
      </w:r>
    </w:p>
    <w:p w14:paraId="4CFEBDF7" w14:textId="77777777" w:rsidR="00D44150" w:rsidRDefault="006F785D" w:rsidP="00D44150">
      <w:pPr>
        <w:pStyle w:val="CommentText"/>
        <w:spacing w:line="240" w:lineRule="auto"/>
        <w:ind w:left="425" w:hanging="425"/>
        <w:contextualSpacing/>
        <w:rPr>
          <w:noProof/>
        </w:rPr>
      </w:pPr>
      <w:r w:rsidRPr="006F785D">
        <w:rPr>
          <w:noProof/>
        </w:rPr>
        <w:t xml:space="preserve">Kongchum, P., E. Sandel, S. Lutzky, E. M. Hallerman, G. Hulata </w:t>
      </w:r>
      <w:r w:rsidRPr="006F785D">
        <w:rPr>
          <w:i/>
          <w:iCs/>
          <w:noProof/>
        </w:rPr>
        <w:t>et al.</w:t>
      </w:r>
      <w:r w:rsidRPr="006F785D">
        <w:rPr>
          <w:noProof/>
        </w:rPr>
        <w:t>, 2011 Association between IL-10a single nucleotide polymorphisms and resistance to cyprinid herpesvirus-3 infection in common carp (</w:t>
      </w:r>
      <w:r w:rsidRPr="00AE0735">
        <w:rPr>
          <w:i/>
          <w:noProof/>
        </w:rPr>
        <w:t>Cyprinus carpio</w:t>
      </w:r>
      <w:r w:rsidRPr="006F785D">
        <w:rPr>
          <w:noProof/>
        </w:rPr>
        <w:t>). Aquaculture 315: 417–421.</w:t>
      </w:r>
    </w:p>
    <w:p w14:paraId="0FCEB249" w14:textId="05F6666E" w:rsidR="00D44150" w:rsidRDefault="006F785D" w:rsidP="00D44150">
      <w:pPr>
        <w:pStyle w:val="CommentText"/>
        <w:spacing w:line="240" w:lineRule="auto"/>
        <w:ind w:left="425" w:hanging="425"/>
        <w:contextualSpacing/>
        <w:rPr>
          <w:noProof/>
        </w:rPr>
      </w:pPr>
      <w:r w:rsidRPr="006F785D">
        <w:rPr>
          <w:noProof/>
        </w:rPr>
        <w:t>Langmead, B., and S. L. Salzberg, 2012 Fast gapped-read alignment with Bowtie 2. Nature Methods 9: 357–359.</w:t>
      </w:r>
    </w:p>
    <w:p w14:paraId="58C43844" w14:textId="401AA231" w:rsidR="00D44150" w:rsidRDefault="00D44150" w:rsidP="00D44150">
      <w:pPr>
        <w:pStyle w:val="CommentText"/>
        <w:spacing w:line="240" w:lineRule="auto"/>
        <w:ind w:left="425" w:hanging="425"/>
        <w:contextualSpacing/>
        <w:rPr>
          <w:noProof/>
        </w:rPr>
      </w:pPr>
      <w:r>
        <w:rPr>
          <w:lang w:val="en-GB"/>
        </w:rPr>
        <w:t>Li H. 2013</w:t>
      </w:r>
      <w:r w:rsidRPr="00ED7C65">
        <w:rPr>
          <w:lang w:val="en-GB"/>
        </w:rPr>
        <w:t xml:space="preserve"> Aligning sequence reads, clone sequences and assembly contigs with BWA-MEM. arXiv:1303.3997v1 [q-bio.GN].</w:t>
      </w:r>
    </w:p>
    <w:p w14:paraId="4A8DD84A" w14:textId="77777777" w:rsidR="00D44150" w:rsidRDefault="006F785D" w:rsidP="00D44150">
      <w:pPr>
        <w:pStyle w:val="CommentText"/>
        <w:spacing w:line="240" w:lineRule="auto"/>
        <w:ind w:left="425" w:hanging="425"/>
        <w:contextualSpacing/>
        <w:rPr>
          <w:noProof/>
        </w:rPr>
      </w:pPr>
      <w:r w:rsidRPr="006F785D">
        <w:rPr>
          <w:noProof/>
        </w:rPr>
        <w:t xml:space="preserve">Li, H., B. Handsaker, A. Wysoker, T. Fennell, J. Ruan </w:t>
      </w:r>
      <w:r w:rsidRPr="006F785D">
        <w:rPr>
          <w:i/>
          <w:iCs/>
          <w:noProof/>
        </w:rPr>
        <w:t>et al.</w:t>
      </w:r>
      <w:r w:rsidRPr="006F785D">
        <w:rPr>
          <w:noProof/>
        </w:rPr>
        <w:t>, 2009 The Sequence Alignment/Map format and SAMtools. Bioinformatics (Oxford, England) 25: 2078–9.</w:t>
      </w:r>
    </w:p>
    <w:p w14:paraId="5EF97846" w14:textId="77777777" w:rsidR="00D44150" w:rsidRDefault="006F785D" w:rsidP="00D44150">
      <w:pPr>
        <w:pStyle w:val="CommentText"/>
        <w:spacing w:line="240" w:lineRule="auto"/>
        <w:ind w:left="425" w:hanging="425"/>
        <w:contextualSpacing/>
        <w:rPr>
          <w:noProof/>
        </w:rPr>
      </w:pPr>
      <w:r w:rsidRPr="006F785D">
        <w:rPr>
          <w:noProof/>
        </w:rPr>
        <w:t xml:space="preserve">Lourenco, D. A. L., S. Tsuruta, B. O. Fragomeni, Y. Masuda, I. Aguilar </w:t>
      </w:r>
      <w:r w:rsidRPr="006F785D">
        <w:rPr>
          <w:i/>
          <w:iCs/>
          <w:noProof/>
        </w:rPr>
        <w:t>et al.</w:t>
      </w:r>
      <w:r w:rsidRPr="006F785D">
        <w:rPr>
          <w:noProof/>
        </w:rPr>
        <w:t>, 2015 Genetic evaluation using single-step genomic best linear unbiased predictor in American Angus. Journal of animal science 93: 2653–2662.</w:t>
      </w:r>
    </w:p>
    <w:p w14:paraId="46C3EA66" w14:textId="77777777" w:rsidR="00D44150" w:rsidRDefault="006F785D" w:rsidP="00D44150">
      <w:pPr>
        <w:pStyle w:val="CommentText"/>
        <w:spacing w:line="240" w:lineRule="auto"/>
        <w:ind w:left="425" w:hanging="425"/>
        <w:contextualSpacing/>
        <w:rPr>
          <w:noProof/>
        </w:rPr>
      </w:pPr>
      <w:r w:rsidRPr="006F785D">
        <w:rPr>
          <w:noProof/>
        </w:rPr>
        <w:t>Mendoza, R., M. M. Anderson, and J. Overbaugh, 2006 A putative thiamine transport protein is a receptor for feline leukemia virus subgroup A. Journal of virology 80: 3378–85.</w:t>
      </w:r>
    </w:p>
    <w:p w14:paraId="6245B93D" w14:textId="396203D6" w:rsidR="00D44150" w:rsidRDefault="006F785D" w:rsidP="00D44150">
      <w:pPr>
        <w:pStyle w:val="CommentText"/>
        <w:spacing w:line="240" w:lineRule="auto"/>
        <w:ind w:left="425" w:hanging="425"/>
        <w:contextualSpacing/>
        <w:rPr>
          <w:noProof/>
        </w:rPr>
      </w:pPr>
      <w:r w:rsidRPr="006F785D">
        <w:rPr>
          <w:noProof/>
        </w:rPr>
        <w:t xml:space="preserve">Misztal, I., S. Tsuruta, T. Strabel, B. Auvray, T. Druet </w:t>
      </w:r>
      <w:r w:rsidRPr="006F785D">
        <w:rPr>
          <w:i/>
          <w:iCs/>
          <w:noProof/>
        </w:rPr>
        <w:t>et al.</w:t>
      </w:r>
      <w:r w:rsidRPr="006F785D">
        <w:rPr>
          <w:noProof/>
        </w:rPr>
        <w:t xml:space="preserve">, 2002 BLUPF90 and related programs (BGF90), pp. 21–22 in </w:t>
      </w:r>
      <w:r w:rsidRPr="006F785D">
        <w:rPr>
          <w:i/>
          <w:iCs/>
          <w:noProof/>
        </w:rPr>
        <w:t>Proceedings of the 7th World Congress on Genetics Applied to Livestock Production</w:t>
      </w:r>
      <w:r w:rsidRPr="006F785D">
        <w:rPr>
          <w:noProof/>
        </w:rPr>
        <w:t>.</w:t>
      </w:r>
    </w:p>
    <w:p w14:paraId="7415B1E3" w14:textId="77777777" w:rsidR="00D44150" w:rsidRDefault="006F785D" w:rsidP="00D44150">
      <w:pPr>
        <w:pStyle w:val="CommentText"/>
        <w:spacing w:line="240" w:lineRule="auto"/>
        <w:ind w:left="425" w:hanging="425"/>
        <w:contextualSpacing/>
        <w:rPr>
          <w:noProof/>
        </w:rPr>
      </w:pPr>
      <w:r w:rsidRPr="006F785D">
        <w:rPr>
          <w:noProof/>
        </w:rPr>
        <w:t>Moen, T., M. Baranski, A. K. Sonesson, and S. Kjøglum, 2009 Confirmation and fine-mapping of a major QTL for resistance to infectious pancreatic necrosis in Atlantic salmon (</w:t>
      </w:r>
      <w:r w:rsidRPr="00AE0735">
        <w:rPr>
          <w:i/>
          <w:noProof/>
        </w:rPr>
        <w:t>Salmo salar</w:t>
      </w:r>
      <w:r w:rsidRPr="006F785D">
        <w:rPr>
          <w:noProof/>
        </w:rPr>
        <w:t>): population-level associations between markers and trait. BMC Genomics 10: 368.</w:t>
      </w:r>
    </w:p>
    <w:p w14:paraId="6B919630" w14:textId="77777777" w:rsidR="00D44150" w:rsidRDefault="006F785D" w:rsidP="00D44150">
      <w:pPr>
        <w:pStyle w:val="CommentText"/>
        <w:spacing w:line="240" w:lineRule="auto"/>
        <w:ind w:left="425" w:hanging="425"/>
        <w:contextualSpacing/>
        <w:rPr>
          <w:noProof/>
        </w:rPr>
      </w:pPr>
      <w:r w:rsidRPr="006F785D">
        <w:rPr>
          <w:noProof/>
        </w:rPr>
        <w:t>Nakagawa, S., and H. Schielzeth, 2013 A general and simple method for obtaining R 2 from generalized linear mixed-effects models. Methods in Ecology and Evolution 4: 133–42.</w:t>
      </w:r>
    </w:p>
    <w:p w14:paraId="7B11F52D" w14:textId="080CBBE9" w:rsidR="006F785D" w:rsidRPr="006F785D" w:rsidRDefault="006F785D" w:rsidP="00D44150">
      <w:pPr>
        <w:pStyle w:val="CommentText"/>
        <w:spacing w:line="240" w:lineRule="auto"/>
        <w:ind w:left="425" w:hanging="425"/>
        <w:contextualSpacing/>
        <w:rPr>
          <w:noProof/>
        </w:rPr>
      </w:pPr>
      <w:r w:rsidRPr="006F785D">
        <w:rPr>
          <w:noProof/>
        </w:rPr>
        <w:t xml:space="preserve">Nielsen, H. M., J. Ødegård, I. Olesen, B. Gjerde, L. Ardo </w:t>
      </w:r>
      <w:r w:rsidRPr="006F785D">
        <w:rPr>
          <w:i/>
          <w:iCs/>
          <w:noProof/>
        </w:rPr>
        <w:t>et al.</w:t>
      </w:r>
      <w:r w:rsidRPr="006F785D">
        <w:rPr>
          <w:noProof/>
        </w:rPr>
        <w:t xml:space="preserve">, 2010 Genetic analysis of </w:t>
      </w:r>
      <w:r w:rsidRPr="006F785D">
        <w:rPr>
          <w:noProof/>
        </w:rPr>
        <w:lastRenderedPageBreak/>
        <w:t>common carp (</w:t>
      </w:r>
      <w:r w:rsidRPr="00AE0735">
        <w:rPr>
          <w:i/>
          <w:noProof/>
        </w:rPr>
        <w:t>Cyprinus carpio</w:t>
      </w:r>
      <w:r w:rsidRPr="006F785D">
        <w:rPr>
          <w:noProof/>
        </w:rPr>
        <w:t>) strains. I: Genetic parameters and heterosis for growth traits and survival. Aquaculture 304: 14–21.</w:t>
      </w:r>
    </w:p>
    <w:p w14:paraId="7AF7B163" w14:textId="77777777" w:rsidR="006F785D" w:rsidRPr="006F785D" w:rsidRDefault="006F785D" w:rsidP="006F785D">
      <w:pPr>
        <w:widowControl w:val="0"/>
        <w:autoSpaceDE w:val="0"/>
        <w:autoSpaceDN w:val="0"/>
        <w:adjustRightInd w:val="0"/>
        <w:ind w:left="480" w:hanging="480"/>
        <w:rPr>
          <w:noProof/>
        </w:rPr>
      </w:pPr>
      <w:r w:rsidRPr="006F785D">
        <w:rPr>
          <w:noProof/>
        </w:rPr>
        <w:t>Ødegård, J., M. Baranski, B. Gjerde, and T. Gjedrem, 2011 Methodology for genetic evaluation of disease resistance in aquaculture species: Challenges and future prospects. Aquaculture Research 42: 103–114.</w:t>
      </w:r>
    </w:p>
    <w:p w14:paraId="0B5D0E7E"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Ødegård, J., I. Olesen, P. Dixon, Z. Jeney, H. M. Nielsen </w:t>
      </w:r>
      <w:r w:rsidRPr="006F785D">
        <w:rPr>
          <w:i/>
          <w:iCs/>
          <w:noProof/>
        </w:rPr>
        <w:t>et al.</w:t>
      </w:r>
      <w:r w:rsidRPr="006F785D">
        <w:rPr>
          <w:noProof/>
        </w:rPr>
        <w:t>, 2010 Genetic analysis of common carp (</w:t>
      </w:r>
      <w:r w:rsidRPr="00AE0735">
        <w:rPr>
          <w:i/>
          <w:noProof/>
        </w:rPr>
        <w:t>Cyprinus carpio</w:t>
      </w:r>
      <w:r w:rsidRPr="006F785D">
        <w:rPr>
          <w:noProof/>
        </w:rPr>
        <w:t>) strains. II: Resistance to koi herpesvirus and Aeromonas hydrophila and their relationship with pond survival. Aquaculture 304: 7–13.</w:t>
      </w:r>
    </w:p>
    <w:p w14:paraId="0C019E11" w14:textId="77777777" w:rsidR="006F785D" w:rsidRPr="006F785D" w:rsidRDefault="006F785D" w:rsidP="006F785D">
      <w:pPr>
        <w:widowControl w:val="0"/>
        <w:autoSpaceDE w:val="0"/>
        <w:autoSpaceDN w:val="0"/>
        <w:adjustRightInd w:val="0"/>
        <w:ind w:left="480" w:hanging="480"/>
        <w:rPr>
          <w:noProof/>
        </w:rPr>
      </w:pPr>
      <w:r w:rsidRPr="006F785D">
        <w:rPr>
          <w:noProof/>
        </w:rPr>
        <w:t>OIE, 2018 OIE-Listed diseases, infections and infestations in force in 2018. World Organization for Animal Health.</w:t>
      </w:r>
    </w:p>
    <w:p w14:paraId="35199EAF" w14:textId="77777777" w:rsidR="006F785D" w:rsidRPr="006F785D" w:rsidRDefault="006F785D" w:rsidP="006F785D">
      <w:pPr>
        <w:widowControl w:val="0"/>
        <w:autoSpaceDE w:val="0"/>
        <w:autoSpaceDN w:val="0"/>
        <w:adjustRightInd w:val="0"/>
        <w:ind w:left="480" w:hanging="480"/>
        <w:rPr>
          <w:noProof/>
        </w:rPr>
      </w:pPr>
      <w:r w:rsidRPr="006F785D">
        <w:rPr>
          <w:noProof/>
        </w:rPr>
        <w:t>Palaiokostas, C., M. Kocour, M. Prchal, and R. D. Houston, 2018 Accuracy of genomic evaluations of juvenile growth rate in common carp (</w:t>
      </w:r>
      <w:r w:rsidRPr="00AE0735">
        <w:rPr>
          <w:i/>
          <w:noProof/>
        </w:rPr>
        <w:t>Cyprinus carpio</w:t>
      </w:r>
      <w:r w:rsidRPr="006F785D">
        <w:rPr>
          <w:noProof/>
        </w:rPr>
        <w:t>) using genotyping by sequencing. Frontiers in Genetics 9: 82.</w:t>
      </w:r>
    </w:p>
    <w:p w14:paraId="32E9755E"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Palti, Y., R. L. Vallejo, G. Gao, S. Liu, A. G. Hernandez </w:t>
      </w:r>
      <w:r w:rsidRPr="006F785D">
        <w:rPr>
          <w:i/>
          <w:iCs/>
          <w:noProof/>
        </w:rPr>
        <w:t>et al.</w:t>
      </w:r>
      <w:r w:rsidRPr="006F785D">
        <w:rPr>
          <w:noProof/>
        </w:rPr>
        <w:t>, 2015 Detection and Validation of QTL Affecting Bacterial Cold Water Disease Resistance in Rainbow Trout Using Restriction-Site Associated DNA Sequencing (H. Wang, Ed.). PLOS ONE 10: e0138435.</w:t>
      </w:r>
    </w:p>
    <w:p w14:paraId="4148702A" w14:textId="77777777" w:rsidR="006F785D" w:rsidRPr="006F785D" w:rsidRDefault="006F785D" w:rsidP="006F785D">
      <w:pPr>
        <w:widowControl w:val="0"/>
        <w:autoSpaceDE w:val="0"/>
        <w:autoSpaceDN w:val="0"/>
        <w:adjustRightInd w:val="0"/>
        <w:ind w:left="480" w:hanging="480"/>
        <w:rPr>
          <w:noProof/>
        </w:rPr>
      </w:pPr>
      <w:r w:rsidRPr="006F785D">
        <w:rPr>
          <w:noProof/>
        </w:rPr>
        <w:t>Pérez, P., and G. de Los Campo</w:t>
      </w:r>
      <w:r w:rsidR="00AE0735">
        <w:rPr>
          <w:noProof/>
        </w:rPr>
        <w:t>s, 2014 Genome-Wide Regression and</w:t>
      </w:r>
      <w:r w:rsidRPr="006F785D">
        <w:rPr>
          <w:noProof/>
        </w:rPr>
        <w:t xml:space="preserve"> Prediction with the BGLR Statistical Package. Genetics.</w:t>
      </w:r>
    </w:p>
    <w:p w14:paraId="1303CD02"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Piačková, V., M. Flajšhans, D. Pokorová, S. Reschová, D. Gela </w:t>
      </w:r>
      <w:r w:rsidRPr="006F785D">
        <w:rPr>
          <w:i/>
          <w:iCs/>
          <w:noProof/>
        </w:rPr>
        <w:t>et al.</w:t>
      </w:r>
      <w:r w:rsidRPr="006F785D">
        <w:rPr>
          <w:noProof/>
        </w:rPr>
        <w:t xml:space="preserve">, 2013 Sensitivity of common carp, </w:t>
      </w:r>
      <w:r w:rsidRPr="006F785D">
        <w:rPr>
          <w:i/>
          <w:iCs/>
          <w:noProof/>
        </w:rPr>
        <w:t>Cyprinus carpio</w:t>
      </w:r>
      <w:r w:rsidRPr="006F785D">
        <w:rPr>
          <w:noProof/>
        </w:rPr>
        <w:t xml:space="preserve"> L., strains and crossbreeds reared in the Czech Republic to infection by cyprinid herpesvirus 3 (CyHV-3; KHV). Journal of Fish Diseases 36: 75–80.</w:t>
      </w:r>
    </w:p>
    <w:p w14:paraId="13DC7FB9" w14:textId="77777777" w:rsidR="006F785D" w:rsidRDefault="006F785D" w:rsidP="006F785D">
      <w:pPr>
        <w:widowControl w:val="0"/>
        <w:autoSpaceDE w:val="0"/>
        <w:autoSpaceDN w:val="0"/>
        <w:adjustRightInd w:val="0"/>
        <w:ind w:left="480" w:hanging="480"/>
        <w:rPr>
          <w:noProof/>
        </w:rPr>
      </w:pPr>
      <w:r w:rsidRPr="006F785D">
        <w:rPr>
          <w:noProof/>
        </w:rPr>
        <w:t>Plummer, M., N. Best, K. Cowles, and K. Vines, 2006 CODA: convergence diagnosis and output analysis for MCMC. R News 6: 7–11.</w:t>
      </w:r>
    </w:p>
    <w:p w14:paraId="0D1CA651" w14:textId="77777777" w:rsidR="003F4B0A" w:rsidRPr="003F4B0A" w:rsidRDefault="003F4B0A" w:rsidP="006F785D">
      <w:pPr>
        <w:widowControl w:val="0"/>
        <w:autoSpaceDE w:val="0"/>
        <w:autoSpaceDN w:val="0"/>
        <w:adjustRightInd w:val="0"/>
        <w:ind w:left="480" w:hanging="480"/>
        <w:rPr>
          <w:noProof/>
        </w:rPr>
      </w:pPr>
      <w:r w:rsidRPr="003F4B0A">
        <w:rPr>
          <w:noProof/>
        </w:rPr>
        <w:t xml:space="preserve">Pokorova, D., S. Reschova, J. Hullova, M. Vicenova, T. Vesely </w:t>
      </w:r>
      <w:r w:rsidRPr="003F4B0A">
        <w:rPr>
          <w:i/>
          <w:noProof/>
        </w:rPr>
        <w:t>et a</w:t>
      </w:r>
      <w:r w:rsidRPr="003F4B0A">
        <w:rPr>
          <w:noProof/>
        </w:rPr>
        <w:t xml:space="preserve">l., 2010 Detection of Cyprinid Herpesvirus-3 in field samples of common and koi carp by various single-round and nested PCR methods. </w:t>
      </w:r>
      <w:r>
        <w:rPr>
          <w:noProof/>
        </w:rPr>
        <w:t>World Aquaculture Society 41(5): 773-779.</w:t>
      </w:r>
    </w:p>
    <w:p w14:paraId="1F251731"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Prchal, M., A. Kause, M. Vandeputte, D. Gela, J. M. Allamellou </w:t>
      </w:r>
      <w:r w:rsidRPr="006F785D">
        <w:rPr>
          <w:i/>
          <w:iCs/>
          <w:noProof/>
        </w:rPr>
        <w:t>et al.</w:t>
      </w:r>
      <w:r w:rsidRPr="006F785D">
        <w:rPr>
          <w:noProof/>
        </w:rPr>
        <w:t>, 2018 The genetics of overwintering performance in two-year old common carp and its relation to performance until market size. PLoS ONE 13</w:t>
      </w:r>
      <w:r w:rsidR="008F5474">
        <w:rPr>
          <w:noProof/>
        </w:rPr>
        <w:t>(1)</w:t>
      </w:r>
      <w:r w:rsidRPr="006F785D">
        <w:rPr>
          <w:noProof/>
        </w:rPr>
        <w:t>:</w:t>
      </w:r>
      <w:r w:rsidR="008F5474">
        <w:rPr>
          <w:noProof/>
        </w:rPr>
        <w:t>e0191624</w:t>
      </w:r>
      <w:r w:rsidRPr="006F785D">
        <w:rPr>
          <w:noProof/>
        </w:rPr>
        <w:t>.</w:t>
      </w:r>
    </w:p>
    <w:p w14:paraId="6CF77B41"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Rakus, K. Ł., G. F. Wiegertjes, M. Adamek, A. K. Siwicki, A. Lepa </w:t>
      </w:r>
      <w:r w:rsidRPr="006F785D">
        <w:rPr>
          <w:i/>
          <w:iCs/>
          <w:noProof/>
        </w:rPr>
        <w:t>et al.</w:t>
      </w:r>
      <w:r w:rsidRPr="006F785D">
        <w:rPr>
          <w:noProof/>
        </w:rPr>
        <w:t>, 2009 Resistance of common carp (</w:t>
      </w:r>
      <w:r w:rsidRPr="00AE0735">
        <w:rPr>
          <w:i/>
          <w:noProof/>
        </w:rPr>
        <w:t>Cyprinus carpio</w:t>
      </w:r>
      <w:r w:rsidRPr="006F785D">
        <w:rPr>
          <w:noProof/>
        </w:rPr>
        <w:t xml:space="preserve"> L.) to Cyprinid herpesvirus-3 is influenced by major histocompatibility (MH) class II B gene polymorphism. Fish &amp; shellfish immunology 26: 737–43.</w:t>
      </w:r>
    </w:p>
    <w:p w14:paraId="6D405F40" w14:textId="77777777" w:rsidR="006F785D" w:rsidRPr="006F785D" w:rsidRDefault="006F785D" w:rsidP="006F785D">
      <w:pPr>
        <w:widowControl w:val="0"/>
        <w:autoSpaceDE w:val="0"/>
        <w:autoSpaceDN w:val="0"/>
        <w:adjustRightInd w:val="0"/>
        <w:ind w:left="480" w:hanging="480"/>
        <w:rPr>
          <w:noProof/>
        </w:rPr>
      </w:pPr>
      <w:r w:rsidRPr="006F785D">
        <w:rPr>
          <w:noProof/>
        </w:rPr>
        <w:t>Robledo, D., C. Palaiokostas, L. Bargelloni, P. Martínez, and R. Houston, 2017 Applications of genotyping by sequencing in aquaculture breeding and genetics. Reviews in Aquaculture</w:t>
      </w:r>
      <w:r w:rsidR="008F5474">
        <w:rPr>
          <w:noProof/>
        </w:rPr>
        <w:t xml:space="preserve"> 0:1-13</w:t>
      </w:r>
      <w:r w:rsidRPr="006F785D">
        <w:rPr>
          <w:noProof/>
        </w:rPr>
        <w:t>.</w:t>
      </w:r>
    </w:p>
    <w:p w14:paraId="59931727" w14:textId="77777777" w:rsidR="006F785D" w:rsidRPr="006F785D" w:rsidRDefault="006F785D" w:rsidP="006F785D">
      <w:pPr>
        <w:widowControl w:val="0"/>
        <w:autoSpaceDE w:val="0"/>
        <w:autoSpaceDN w:val="0"/>
        <w:adjustRightInd w:val="0"/>
        <w:ind w:left="480" w:hanging="480"/>
        <w:rPr>
          <w:noProof/>
        </w:rPr>
      </w:pPr>
      <w:r w:rsidRPr="006F785D">
        <w:rPr>
          <w:noProof/>
        </w:rPr>
        <w:t>Sargolzaei, M., J. P. Chesnais, and F. S. Schenkel, 2014 A new approach for efficient genotype imputation using information from relatives. BMC Genomics 15: 478.</w:t>
      </w:r>
    </w:p>
    <w:p w14:paraId="7AEC2B93" w14:textId="77777777" w:rsidR="006F785D" w:rsidRPr="006F785D" w:rsidRDefault="006F785D" w:rsidP="006F785D">
      <w:pPr>
        <w:widowControl w:val="0"/>
        <w:autoSpaceDE w:val="0"/>
        <w:autoSpaceDN w:val="0"/>
        <w:adjustRightInd w:val="0"/>
        <w:ind w:left="480" w:hanging="480"/>
        <w:rPr>
          <w:noProof/>
        </w:rPr>
      </w:pPr>
      <w:r w:rsidRPr="006F785D">
        <w:rPr>
          <w:noProof/>
        </w:rPr>
        <w:t>Shapira, Yechiam, Magen Yigal, Zak Tatyana, Kotler Mosche, Hulata Gideon, L.-S. B., 2005 Differential resistance to koi herpes virus (KHV)/carp interstitial nephritis and gill necrosis virus (CNGV) among common carp (</w:t>
      </w:r>
      <w:r w:rsidRPr="00AE0735">
        <w:rPr>
          <w:i/>
          <w:noProof/>
        </w:rPr>
        <w:t>Cyprinus carpio</w:t>
      </w:r>
      <w:r w:rsidRPr="006F785D">
        <w:rPr>
          <w:noProof/>
        </w:rPr>
        <w:t xml:space="preserve"> L.) strains and crossbreds. Aquaculture 245: 1–11.</w:t>
      </w:r>
    </w:p>
    <w:p w14:paraId="5150A2A2" w14:textId="77777777" w:rsidR="006F785D" w:rsidRPr="006F785D" w:rsidRDefault="006F785D" w:rsidP="006F785D">
      <w:pPr>
        <w:widowControl w:val="0"/>
        <w:autoSpaceDE w:val="0"/>
        <w:autoSpaceDN w:val="0"/>
        <w:adjustRightInd w:val="0"/>
        <w:ind w:left="480" w:hanging="480"/>
        <w:rPr>
          <w:noProof/>
        </w:rPr>
      </w:pPr>
      <w:r w:rsidRPr="006F785D">
        <w:rPr>
          <w:noProof/>
        </w:rPr>
        <w:t>Tadmor-Levi, R., E. Asoulin, G. Hulata, and L. David, 2017 Studying the Genetics of Resistance to CyHV-3 Disease Using Introgression from Feral to Cultured Common Carp Strains. Frontiers in Genetics 8: 24.</w:t>
      </w:r>
    </w:p>
    <w:p w14:paraId="1D7C00FD"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Taylor, N. G. H., P. F. Dixon, K. R. Jeffery, E. J. Peeler, K. L. Denham </w:t>
      </w:r>
      <w:r w:rsidRPr="006F785D">
        <w:rPr>
          <w:i/>
          <w:iCs/>
          <w:noProof/>
        </w:rPr>
        <w:t>et al.</w:t>
      </w:r>
      <w:r w:rsidRPr="006F785D">
        <w:rPr>
          <w:noProof/>
        </w:rPr>
        <w:t xml:space="preserve">, 2010 Koi </w:t>
      </w:r>
      <w:r w:rsidRPr="006F785D">
        <w:rPr>
          <w:noProof/>
        </w:rPr>
        <w:lastRenderedPageBreak/>
        <w:t>herpesvirus: distribution and prospects for control in England and Wales. Journal of Fish Diseases 33: 221–230.</w:t>
      </w:r>
    </w:p>
    <w:p w14:paraId="393E9F1C" w14:textId="77777777" w:rsidR="006F785D" w:rsidRPr="006F785D" w:rsidRDefault="006F785D" w:rsidP="006F785D">
      <w:pPr>
        <w:widowControl w:val="0"/>
        <w:autoSpaceDE w:val="0"/>
        <w:autoSpaceDN w:val="0"/>
        <w:adjustRightInd w:val="0"/>
        <w:ind w:left="480" w:hanging="480"/>
        <w:rPr>
          <w:noProof/>
        </w:rPr>
      </w:pPr>
      <w:r w:rsidRPr="006F785D">
        <w:rPr>
          <w:noProof/>
        </w:rPr>
        <w:t>Vandeputte, M., 2003 Selective breeding of quantitative traits in the common carp (</w:t>
      </w:r>
      <w:r w:rsidRPr="00AE0735">
        <w:rPr>
          <w:i/>
          <w:noProof/>
        </w:rPr>
        <w:t>Cyprinus carpio</w:t>
      </w:r>
      <w:r w:rsidRPr="006F785D">
        <w:rPr>
          <w:noProof/>
        </w:rPr>
        <w:t xml:space="preserve">): A review, pp. 399–407 in </w:t>
      </w:r>
      <w:r w:rsidRPr="006F785D">
        <w:rPr>
          <w:i/>
          <w:iCs/>
          <w:noProof/>
        </w:rPr>
        <w:t>Aquatic Living Resources</w:t>
      </w:r>
      <w:r w:rsidRPr="006F785D">
        <w:rPr>
          <w:noProof/>
        </w:rPr>
        <w:t>,.</w:t>
      </w:r>
    </w:p>
    <w:p w14:paraId="326ACDAA"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Vandeputte, M., M. Kocour, S. Mauger, M. Dupont-Nivet, D. De Guerry </w:t>
      </w:r>
      <w:r w:rsidRPr="006F785D">
        <w:rPr>
          <w:i/>
          <w:iCs/>
          <w:noProof/>
        </w:rPr>
        <w:t>et al.</w:t>
      </w:r>
      <w:r w:rsidRPr="006F785D">
        <w:rPr>
          <w:noProof/>
        </w:rPr>
        <w:t>, 2004 Heritability estimates for growth-related traits using microsatellite parentage assignment in juvenile common carp (</w:t>
      </w:r>
      <w:r w:rsidRPr="00AE0735">
        <w:rPr>
          <w:i/>
          <w:noProof/>
        </w:rPr>
        <w:t>Cyprinus carpio</w:t>
      </w:r>
      <w:r w:rsidRPr="006F785D">
        <w:rPr>
          <w:noProof/>
        </w:rPr>
        <w:t xml:space="preserve"> L.). Aquaculture 235: 223–236.</w:t>
      </w:r>
    </w:p>
    <w:p w14:paraId="4660BA17"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Vandeputte, M., M. Kocour, S. Mauger, M. Rodina, A. Launay </w:t>
      </w:r>
      <w:r w:rsidRPr="006F785D">
        <w:rPr>
          <w:i/>
          <w:iCs/>
          <w:noProof/>
        </w:rPr>
        <w:t>et al.</w:t>
      </w:r>
      <w:r w:rsidRPr="006F785D">
        <w:rPr>
          <w:noProof/>
        </w:rPr>
        <w:t>, 2008 Genetic variation for growth at one and two summers of age in the common carp (</w:t>
      </w:r>
      <w:r w:rsidRPr="00AE0735">
        <w:rPr>
          <w:i/>
          <w:noProof/>
        </w:rPr>
        <w:t>Cyprinus carpio</w:t>
      </w:r>
      <w:r w:rsidRPr="006F785D">
        <w:rPr>
          <w:noProof/>
        </w:rPr>
        <w:t xml:space="preserve"> L.): Heritability estimates and response to selection. Aquaculture 277: 7–13.</w:t>
      </w:r>
    </w:p>
    <w:p w14:paraId="07CFDB33" w14:textId="77777777" w:rsidR="006F785D" w:rsidRPr="006F785D" w:rsidRDefault="006F785D" w:rsidP="006F785D">
      <w:pPr>
        <w:widowControl w:val="0"/>
        <w:autoSpaceDE w:val="0"/>
        <w:autoSpaceDN w:val="0"/>
        <w:adjustRightInd w:val="0"/>
        <w:ind w:left="480" w:hanging="480"/>
        <w:rPr>
          <w:noProof/>
        </w:rPr>
      </w:pPr>
      <w:r w:rsidRPr="006F785D">
        <w:rPr>
          <w:noProof/>
        </w:rPr>
        <w:t>VanRaden, P. M., 2008 Efficient methods to compute genomic predictions. Journal of dairy science 91: 4414–23.</w:t>
      </w:r>
    </w:p>
    <w:p w14:paraId="4C18FB02" w14:textId="77777777" w:rsidR="006F785D" w:rsidRPr="006F785D" w:rsidRDefault="006F785D" w:rsidP="006F785D">
      <w:pPr>
        <w:widowControl w:val="0"/>
        <w:autoSpaceDE w:val="0"/>
        <w:autoSpaceDN w:val="0"/>
        <w:adjustRightInd w:val="0"/>
        <w:ind w:left="480" w:hanging="480"/>
        <w:rPr>
          <w:noProof/>
        </w:rPr>
      </w:pPr>
      <w:r w:rsidRPr="006F785D">
        <w:rPr>
          <w:noProof/>
        </w:rPr>
        <w:t>Wang, H., I. Misztal, I. Aguilar, A. Legarra, and W. M. Muir, 2012 Genome-wide association mapping including phenotypes from relatives without genotypes. Genetics Research 94: 73–83.</w:t>
      </w:r>
    </w:p>
    <w:p w14:paraId="75626081" w14:textId="77777777" w:rsidR="006F785D" w:rsidRPr="006F785D" w:rsidRDefault="006F785D" w:rsidP="006F785D">
      <w:pPr>
        <w:widowControl w:val="0"/>
        <w:autoSpaceDE w:val="0"/>
        <w:autoSpaceDN w:val="0"/>
        <w:adjustRightInd w:val="0"/>
        <w:ind w:left="480" w:hanging="480"/>
        <w:rPr>
          <w:noProof/>
        </w:rPr>
      </w:pPr>
      <w:r w:rsidRPr="006F785D">
        <w:rPr>
          <w:noProof/>
        </w:rPr>
        <w:t xml:space="preserve">Xu, P., X. Zhang, X. Wang, J. Li, G. Liu </w:t>
      </w:r>
      <w:r w:rsidRPr="006F785D">
        <w:rPr>
          <w:i/>
          <w:iCs/>
          <w:noProof/>
        </w:rPr>
        <w:t>et al.</w:t>
      </w:r>
      <w:r w:rsidRPr="006F785D">
        <w:rPr>
          <w:noProof/>
        </w:rPr>
        <w:t>, 2014 Genome sequence and genetic diversity of the common carp, Cyprinus carpio. Nat Genet advance on:</w:t>
      </w:r>
    </w:p>
    <w:p w14:paraId="5A1D1A77" w14:textId="77777777" w:rsidR="006F785D" w:rsidRPr="006F785D" w:rsidRDefault="006F785D" w:rsidP="006F785D">
      <w:pPr>
        <w:widowControl w:val="0"/>
        <w:autoSpaceDE w:val="0"/>
        <w:autoSpaceDN w:val="0"/>
        <w:adjustRightInd w:val="0"/>
        <w:ind w:left="480" w:hanging="480"/>
        <w:rPr>
          <w:noProof/>
        </w:rPr>
      </w:pPr>
      <w:r w:rsidRPr="006F785D">
        <w:rPr>
          <w:noProof/>
        </w:rPr>
        <w:t>Zhang, X., D. Lourenco, I. Aguilar, A. Legarra, and I. Misztal, 2016 Weighting strategies for single-step genomic BLUP: An iterative approach for accurate calculation of GEBV and GWAS. Frontiers in Genetics 7:</w:t>
      </w:r>
      <w:r w:rsidR="00F52D87">
        <w:rPr>
          <w:noProof/>
        </w:rPr>
        <w:t>151</w:t>
      </w:r>
      <w:r w:rsidRPr="006F785D">
        <w:rPr>
          <w:noProof/>
        </w:rPr>
        <w:t>.</w:t>
      </w:r>
    </w:p>
    <w:p w14:paraId="298D2CC3" w14:textId="77777777" w:rsidR="000E50EA" w:rsidRDefault="006D1A44" w:rsidP="006F785D">
      <w:pPr>
        <w:widowControl w:val="0"/>
        <w:autoSpaceDE w:val="0"/>
        <w:autoSpaceDN w:val="0"/>
        <w:adjustRightInd w:val="0"/>
        <w:ind w:left="480" w:hanging="480"/>
      </w:pPr>
      <w:r>
        <w:fldChar w:fldCharType="end"/>
      </w:r>
    </w:p>
    <w:p w14:paraId="27FAED0A" w14:textId="77777777" w:rsidR="000E50EA" w:rsidRDefault="000E50EA" w:rsidP="00E76B1C">
      <w:pPr>
        <w:widowControl w:val="0"/>
        <w:autoSpaceDE w:val="0"/>
        <w:autoSpaceDN w:val="0"/>
        <w:adjustRightInd w:val="0"/>
        <w:ind w:left="480" w:hanging="480"/>
        <w:outlineLvl w:val="0"/>
      </w:pPr>
    </w:p>
    <w:p w14:paraId="606454F3" w14:textId="77777777" w:rsidR="001A607F" w:rsidRDefault="001A607F" w:rsidP="00E76B1C">
      <w:pPr>
        <w:widowControl w:val="0"/>
        <w:autoSpaceDE w:val="0"/>
        <w:autoSpaceDN w:val="0"/>
        <w:adjustRightInd w:val="0"/>
        <w:ind w:left="480" w:hanging="480"/>
        <w:outlineLvl w:val="0"/>
      </w:pPr>
    </w:p>
    <w:p w14:paraId="041BD096" w14:textId="77777777" w:rsidR="001A607F" w:rsidRDefault="001A607F" w:rsidP="00E76B1C">
      <w:pPr>
        <w:widowControl w:val="0"/>
        <w:autoSpaceDE w:val="0"/>
        <w:autoSpaceDN w:val="0"/>
        <w:adjustRightInd w:val="0"/>
        <w:ind w:left="480" w:hanging="480"/>
        <w:outlineLvl w:val="0"/>
      </w:pPr>
    </w:p>
    <w:p w14:paraId="3A1DC9F5" w14:textId="77777777" w:rsidR="000D6E9E" w:rsidRDefault="000D6E9E" w:rsidP="00E76B1C">
      <w:pPr>
        <w:widowControl w:val="0"/>
        <w:autoSpaceDE w:val="0"/>
        <w:autoSpaceDN w:val="0"/>
        <w:adjustRightInd w:val="0"/>
        <w:ind w:left="480" w:hanging="480"/>
        <w:outlineLvl w:val="0"/>
      </w:pPr>
    </w:p>
    <w:p w14:paraId="23D99013" w14:textId="77777777" w:rsidR="000D6E9E" w:rsidRDefault="000D6E9E" w:rsidP="00E76B1C">
      <w:pPr>
        <w:widowControl w:val="0"/>
        <w:autoSpaceDE w:val="0"/>
        <w:autoSpaceDN w:val="0"/>
        <w:adjustRightInd w:val="0"/>
        <w:ind w:left="480" w:hanging="480"/>
        <w:outlineLvl w:val="0"/>
      </w:pPr>
    </w:p>
    <w:p w14:paraId="6C78FB19" w14:textId="77777777" w:rsidR="000D6E9E" w:rsidRDefault="000D6E9E" w:rsidP="00E76B1C">
      <w:pPr>
        <w:widowControl w:val="0"/>
        <w:autoSpaceDE w:val="0"/>
        <w:autoSpaceDN w:val="0"/>
        <w:adjustRightInd w:val="0"/>
        <w:ind w:left="480" w:hanging="480"/>
        <w:outlineLvl w:val="0"/>
      </w:pPr>
    </w:p>
    <w:p w14:paraId="7845D1E2" w14:textId="77777777" w:rsidR="000D6E9E" w:rsidRDefault="000D6E9E" w:rsidP="00E76B1C">
      <w:pPr>
        <w:widowControl w:val="0"/>
        <w:autoSpaceDE w:val="0"/>
        <w:autoSpaceDN w:val="0"/>
        <w:adjustRightInd w:val="0"/>
        <w:ind w:left="480" w:hanging="480"/>
        <w:outlineLvl w:val="0"/>
      </w:pPr>
    </w:p>
    <w:p w14:paraId="2991C935" w14:textId="77777777" w:rsidR="000D6E9E" w:rsidRDefault="000D6E9E" w:rsidP="00E76B1C">
      <w:pPr>
        <w:widowControl w:val="0"/>
        <w:autoSpaceDE w:val="0"/>
        <w:autoSpaceDN w:val="0"/>
        <w:adjustRightInd w:val="0"/>
        <w:ind w:left="480" w:hanging="480"/>
        <w:outlineLvl w:val="0"/>
      </w:pPr>
    </w:p>
    <w:p w14:paraId="58E0C4B4" w14:textId="77777777" w:rsidR="000D6E9E" w:rsidRDefault="000D6E9E" w:rsidP="00E76B1C">
      <w:pPr>
        <w:widowControl w:val="0"/>
        <w:autoSpaceDE w:val="0"/>
        <w:autoSpaceDN w:val="0"/>
        <w:adjustRightInd w:val="0"/>
        <w:ind w:left="480" w:hanging="480"/>
        <w:outlineLvl w:val="0"/>
      </w:pPr>
    </w:p>
    <w:p w14:paraId="41E70E0C" w14:textId="77777777" w:rsidR="000D6E9E" w:rsidRDefault="000D6E9E" w:rsidP="00E76B1C">
      <w:pPr>
        <w:widowControl w:val="0"/>
        <w:autoSpaceDE w:val="0"/>
        <w:autoSpaceDN w:val="0"/>
        <w:adjustRightInd w:val="0"/>
        <w:ind w:left="480" w:hanging="480"/>
        <w:outlineLvl w:val="0"/>
      </w:pPr>
    </w:p>
    <w:p w14:paraId="5812C856" w14:textId="77777777" w:rsidR="000D6E9E" w:rsidRDefault="000D6E9E" w:rsidP="00E76B1C">
      <w:pPr>
        <w:widowControl w:val="0"/>
        <w:autoSpaceDE w:val="0"/>
        <w:autoSpaceDN w:val="0"/>
        <w:adjustRightInd w:val="0"/>
        <w:ind w:left="480" w:hanging="480"/>
        <w:outlineLvl w:val="0"/>
      </w:pPr>
    </w:p>
    <w:p w14:paraId="639C6D3F" w14:textId="77777777" w:rsidR="000D6E9E" w:rsidRDefault="000D6E9E" w:rsidP="00E76B1C">
      <w:pPr>
        <w:widowControl w:val="0"/>
        <w:autoSpaceDE w:val="0"/>
        <w:autoSpaceDN w:val="0"/>
        <w:adjustRightInd w:val="0"/>
        <w:ind w:left="480" w:hanging="480"/>
        <w:outlineLvl w:val="0"/>
      </w:pPr>
    </w:p>
    <w:p w14:paraId="0317FA35" w14:textId="77777777" w:rsidR="000D6E9E" w:rsidRDefault="000D6E9E" w:rsidP="00E76B1C">
      <w:pPr>
        <w:widowControl w:val="0"/>
        <w:autoSpaceDE w:val="0"/>
        <w:autoSpaceDN w:val="0"/>
        <w:adjustRightInd w:val="0"/>
        <w:ind w:left="480" w:hanging="480"/>
        <w:outlineLvl w:val="0"/>
      </w:pPr>
    </w:p>
    <w:p w14:paraId="49E68172" w14:textId="77777777" w:rsidR="000D6E9E" w:rsidRDefault="000D6E9E" w:rsidP="00E76B1C">
      <w:pPr>
        <w:widowControl w:val="0"/>
        <w:autoSpaceDE w:val="0"/>
        <w:autoSpaceDN w:val="0"/>
        <w:adjustRightInd w:val="0"/>
        <w:ind w:left="480" w:hanging="480"/>
        <w:outlineLvl w:val="0"/>
      </w:pPr>
    </w:p>
    <w:p w14:paraId="2B00C31E" w14:textId="77777777" w:rsidR="000D6E9E" w:rsidRDefault="000D6E9E" w:rsidP="00E76B1C">
      <w:pPr>
        <w:widowControl w:val="0"/>
        <w:autoSpaceDE w:val="0"/>
        <w:autoSpaceDN w:val="0"/>
        <w:adjustRightInd w:val="0"/>
        <w:ind w:left="480" w:hanging="480"/>
        <w:outlineLvl w:val="0"/>
      </w:pPr>
    </w:p>
    <w:p w14:paraId="574A1211" w14:textId="77777777" w:rsidR="000D6E9E" w:rsidRDefault="000D6E9E" w:rsidP="00E76B1C">
      <w:pPr>
        <w:widowControl w:val="0"/>
        <w:autoSpaceDE w:val="0"/>
        <w:autoSpaceDN w:val="0"/>
        <w:adjustRightInd w:val="0"/>
        <w:ind w:left="480" w:hanging="480"/>
        <w:outlineLvl w:val="0"/>
      </w:pPr>
    </w:p>
    <w:p w14:paraId="4FA3EA8B" w14:textId="77777777" w:rsidR="000D6E9E" w:rsidRDefault="000D6E9E" w:rsidP="00E76B1C">
      <w:pPr>
        <w:widowControl w:val="0"/>
        <w:autoSpaceDE w:val="0"/>
        <w:autoSpaceDN w:val="0"/>
        <w:adjustRightInd w:val="0"/>
        <w:ind w:left="480" w:hanging="480"/>
        <w:outlineLvl w:val="0"/>
      </w:pPr>
    </w:p>
    <w:p w14:paraId="5E69C490" w14:textId="77777777" w:rsidR="000D6E9E" w:rsidRDefault="000D6E9E" w:rsidP="00E76B1C">
      <w:pPr>
        <w:widowControl w:val="0"/>
        <w:autoSpaceDE w:val="0"/>
        <w:autoSpaceDN w:val="0"/>
        <w:adjustRightInd w:val="0"/>
        <w:ind w:left="480" w:hanging="480"/>
        <w:outlineLvl w:val="0"/>
      </w:pPr>
    </w:p>
    <w:p w14:paraId="1AA6C200" w14:textId="77777777" w:rsidR="000D6E9E" w:rsidRDefault="000D6E9E" w:rsidP="00E76B1C">
      <w:pPr>
        <w:widowControl w:val="0"/>
        <w:autoSpaceDE w:val="0"/>
        <w:autoSpaceDN w:val="0"/>
        <w:adjustRightInd w:val="0"/>
        <w:ind w:left="480" w:hanging="480"/>
        <w:outlineLvl w:val="0"/>
      </w:pPr>
    </w:p>
    <w:p w14:paraId="0A6D2CE1" w14:textId="77777777" w:rsidR="000D6E9E" w:rsidRDefault="000D6E9E" w:rsidP="00E76B1C">
      <w:pPr>
        <w:widowControl w:val="0"/>
        <w:autoSpaceDE w:val="0"/>
        <w:autoSpaceDN w:val="0"/>
        <w:adjustRightInd w:val="0"/>
        <w:ind w:left="480" w:hanging="480"/>
        <w:outlineLvl w:val="0"/>
      </w:pPr>
    </w:p>
    <w:p w14:paraId="195F7408" w14:textId="77777777" w:rsidR="000D6E9E" w:rsidRDefault="000D6E9E" w:rsidP="00E76B1C">
      <w:pPr>
        <w:widowControl w:val="0"/>
        <w:autoSpaceDE w:val="0"/>
        <w:autoSpaceDN w:val="0"/>
        <w:adjustRightInd w:val="0"/>
        <w:ind w:left="480" w:hanging="480"/>
        <w:outlineLvl w:val="0"/>
      </w:pPr>
    </w:p>
    <w:p w14:paraId="7DF30489" w14:textId="77777777" w:rsidR="000D6E9E" w:rsidRDefault="000D6E9E" w:rsidP="00E76B1C">
      <w:pPr>
        <w:widowControl w:val="0"/>
        <w:autoSpaceDE w:val="0"/>
        <w:autoSpaceDN w:val="0"/>
        <w:adjustRightInd w:val="0"/>
        <w:ind w:left="480" w:hanging="480"/>
        <w:outlineLvl w:val="0"/>
      </w:pPr>
    </w:p>
    <w:p w14:paraId="6F01ED5C" w14:textId="77777777" w:rsidR="000D6E9E" w:rsidRDefault="000D6E9E" w:rsidP="00E76B1C">
      <w:pPr>
        <w:widowControl w:val="0"/>
        <w:autoSpaceDE w:val="0"/>
        <w:autoSpaceDN w:val="0"/>
        <w:adjustRightInd w:val="0"/>
        <w:ind w:left="480" w:hanging="480"/>
        <w:outlineLvl w:val="0"/>
      </w:pPr>
    </w:p>
    <w:p w14:paraId="37FBCA59" w14:textId="77777777" w:rsidR="000D6E9E" w:rsidRDefault="000D6E9E" w:rsidP="00E76B1C">
      <w:pPr>
        <w:widowControl w:val="0"/>
        <w:autoSpaceDE w:val="0"/>
        <w:autoSpaceDN w:val="0"/>
        <w:adjustRightInd w:val="0"/>
        <w:ind w:left="480" w:hanging="480"/>
        <w:outlineLvl w:val="0"/>
      </w:pPr>
    </w:p>
    <w:p w14:paraId="518E8FC6" w14:textId="77777777" w:rsidR="000D6E9E" w:rsidRDefault="000D6E9E" w:rsidP="00E76B1C">
      <w:pPr>
        <w:widowControl w:val="0"/>
        <w:autoSpaceDE w:val="0"/>
        <w:autoSpaceDN w:val="0"/>
        <w:adjustRightInd w:val="0"/>
        <w:ind w:left="480" w:hanging="480"/>
        <w:outlineLvl w:val="0"/>
      </w:pPr>
    </w:p>
    <w:p w14:paraId="652E77CB" w14:textId="77777777" w:rsidR="000D6E9E" w:rsidRDefault="000D6E9E" w:rsidP="00E76B1C">
      <w:pPr>
        <w:widowControl w:val="0"/>
        <w:autoSpaceDE w:val="0"/>
        <w:autoSpaceDN w:val="0"/>
        <w:adjustRightInd w:val="0"/>
        <w:ind w:left="480" w:hanging="480"/>
        <w:outlineLvl w:val="0"/>
      </w:pPr>
    </w:p>
    <w:p w14:paraId="42B690EB" w14:textId="77777777" w:rsidR="000D6E9E" w:rsidRDefault="000D6E9E" w:rsidP="00E76B1C">
      <w:pPr>
        <w:widowControl w:val="0"/>
        <w:autoSpaceDE w:val="0"/>
        <w:autoSpaceDN w:val="0"/>
        <w:adjustRightInd w:val="0"/>
        <w:ind w:left="480" w:hanging="480"/>
        <w:outlineLvl w:val="0"/>
      </w:pPr>
    </w:p>
    <w:p w14:paraId="70E26FF8" w14:textId="77777777" w:rsidR="000D6E9E" w:rsidRDefault="000D6E9E" w:rsidP="00E76B1C">
      <w:pPr>
        <w:widowControl w:val="0"/>
        <w:autoSpaceDE w:val="0"/>
        <w:autoSpaceDN w:val="0"/>
        <w:adjustRightInd w:val="0"/>
        <w:ind w:left="480" w:hanging="480"/>
        <w:outlineLvl w:val="0"/>
      </w:pPr>
    </w:p>
    <w:p w14:paraId="39EE6CD0" w14:textId="77777777" w:rsidR="000D6E9E" w:rsidRDefault="000D6E9E" w:rsidP="00E76B1C">
      <w:pPr>
        <w:widowControl w:val="0"/>
        <w:autoSpaceDE w:val="0"/>
        <w:autoSpaceDN w:val="0"/>
        <w:adjustRightInd w:val="0"/>
        <w:ind w:left="480" w:hanging="480"/>
        <w:outlineLvl w:val="0"/>
      </w:pPr>
    </w:p>
    <w:p w14:paraId="0AD13AD0" w14:textId="77777777" w:rsidR="000D6E9E" w:rsidRDefault="000D6E9E" w:rsidP="00E76B1C">
      <w:pPr>
        <w:widowControl w:val="0"/>
        <w:autoSpaceDE w:val="0"/>
        <w:autoSpaceDN w:val="0"/>
        <w:adjustRightInd w:val="0"/>
        <w:ind w:left="480" w:hanging="480"/>
        <w:outlineLvl w:val="0"/>
      </w:pPr>
    </w:p>
    <w:p w14:paraId="17C9E979" w14:textId="77777777" w:rsidR="000D6E9E" w:rsidRDefault="000D6E9E" w:rsidP="00E76B1C">
      <w:pPr>
        <w:widowControl w:val="0"/>
        <w:autoSpaceDE w:val="0"/>
        <w:autoSpaceDN w:val="0"/>
        <w:adjustRightInd w:val="0"/>
        <w:ind w:left="480" w:hanging="480"/>
        <w:outlineLvl w:val="0"/>
      </w:pPr>
    </w:p>
    <w:p w14:paraId="380E8B5E" w14:textId="77777777" w:rsidR="000D6E9E" w:rsidRDefault="000D6E9E" w:rsidP="00E76B1C">
      <w:pPr>
        <w:widowControl w:val="0"/>
        <w:autoSpaceDE w:val="0"/>
        <w:autoSpaceDN w:val="0"/>
        <w:adjustRightInd w:val="0"/>
        <w:ind w:left="480" w:hanging="480"/>
        <w:outlineLvl w:val="0"/>
      </w:pPr>
    </w:p>
    <w:p w14:paraId="5123BA6D" w14:textId="77777777" w:rsidR="00B76A19" w:rsidRPr="005871A0" w:rsidRDefault="00B76A19" w:rsidP="00E76B1C">
      <w:pPr>
        <w:outlineLvl w:val="0"/>
        <w:rPr>
          <w:sz w:val="28"/>
          <w:szCs w:val="28"/>
        </w:rPr>
      </w:pPr>
      <w:r w:rsidRPr="005871A0">
        <w:rPr>
          <w:sz w:val="28"/>
          <w:szCs w:val="28"/>
        </w:rPr>
        <w:t>Figures</w:t>
      </w:r>
      <w:r w:rsidR="00037708" w:rsidRPr="005871A0">
        <w:rPr>
          <w:sz w:val="28"/>
          <w:szCs w:val="28"/>
        </w:rPr>
        <w:t xml:space="preserve"> legends</w:t>
      </w:r>
    </w:p>
    <w:p w14:paraId="62B3C5A2" w14:textId="77777777" w:rsidR="00037708" w:rsidRDefault="00037708"/>
    <w:p w14:paraId="25B1B01E" w14:textId="77777777" w:rsidR="004E280F" w:rsidRDefault="004E280F" w:rsidP="00E76B1C">
      <w:pPr>
        <w:jc w:val="both"/>
        <w:outlineLvl w:val="0"/>
      </w:pPr>
      <w:r>
        <w:t>Figure 1</w:t>
      </w:r>
      <w:r w:rsidR="005871A0">
        <w:t xml:space="preserve">. </w:t>
      </w:r>
      <w:r w:rsidR="006824A8">
        <w:t>Daily m</w:t>
      </w:r>
      <w:r w:rsidR="005871A0">
        <w:t xml:space="preserve">ortality </w:t>
      </w:r>
      <w:r w:rsidR="006824A8">
        <w:t xml:space="preserve">levels of fish </w:t>
      </w:r>
      <w:r w:rsidR="00141F17">
        <w:t xml:space="preserve">during </w:t>
      </w:r>
      <w:r w:rsidR="006824A8">
        <w:t xml:space="preserve">the KHV </w:t>
      </w:r>
      <w:r w:rsidR="00141F17">
        <w:t>challenge</w:t>
      </w:r>
      <w:r w:rsidR="006824A8">
        <w:t xml:space="preserve"> experiment</w:t>
      </w:r>
      <w:r w:rsidR="00141F17">
        <w:t xml:space="preserve">. </w:t>
      </w:r>
    </w:p>
    <w:p w14:paraId="2CBE47B1" w14:textId="77777777" w:rsidR="004E280F" w:rsidRDefault="004E280F" w:rsidP="00A30F9F">
      <w:pPr>
        <w:jc w:val="both"/>
      </w:pPr>
    </w:p>
    <w:p w14:paraId="1AD10E25" w14:textId="77777777" w:rsidR="00037708" w:rsidRDefault="00037708"/>
    <w:p w14:paraId="611867CC" w14:textId="77777777" w:rsidR="00037708" w:rsidRDefault="00492655">
      <w:r>
        <w:t>Figure 2</w:t>
      </w:r>
      <w:r w:rsidR="00490312">
        <w:t xml:space="preserve">. </w:t>
      </w:r>
      <w:r w:rsidR="006824A8">
        <w:t xml:space="preserve">Classical </w:t>
      </w:r>
      <w:r w:rsidR="00490312">
        <w:t xml:space="preserve">Genome wide association plot </w:t>
      </w:r>
      <w:r w:rsidR="006824A8">
        <w:t xml:space="preserve">for </w:t>
      </w:r>
      <w:r w:rsidR="00490312">
        <w:t>overall surv</w:t>
      </w:r>
      <w:r w:rsidR="004E280F">
        <w:t xml:space="preserve">ival during the </w:t>
      </w:r>
      <w:r w:rsidR="00E76B1C">
        <w:t>KHV</w:t>
      </w:r>
      <w:r w:rsidR="004E280F">
        <w:t xml:space="preserve"> challenge. </w:t>
      </w:r>
    </w:p>
    <w:p w14:paraId="0052EC75" w14:textId="77777777" w:rsidR="00037708" w:rsidRDefault="00037708"/>
    <w:p w14:paraId="0845F4D6" w14:textId="77777777" w:rsidR="003519BD" w:rsidRDefault="00DC1425">
      <w:r>
        <w:t xml:space="preserve">Figure 3. WGBLUP for resistance to </w:t>
      </w:r>
      <w:r w:rsidR="006824A8">
        <w:t>KHV</w:t>
      </w:r>
      <w:r>
        <w:t xml:space="preserve">. </w:t>
      </w:r>
      <w:r w:rsidR="006824A8">
        <w:t xml:space="preserve">The </w:t>
      </w:r>
      <w:r>
        <w:t xml:space="preserve">additive genetic variance </w:t>
      </w:r>
      <w:r w:rsidR="006824A8">
        <w:t xml:space="preserve">explained </w:t>
      </w:r>
      <w:r>
        <w:t>was calculated using windows of 10 adjacent SNPs</w:t>
      </w:r>
      <w:r w:rsidR="006824A8">
        <w:t xml:space="preserve"> using </w:t>
      </w:r>
      <w:r w:rsidR="004B1825">
        <w:t>A) 1 iteration.</w:t>
      </w:r>
      <w:r w:rsidR="006824A8">
        <w:t xml:space="preserve"> and</w:t>
      </w:r>
      <w:r w:rsidR="004B1825">
        <w:t xml:space="preserve"> B) 3 iterations.</w:t>
      </w:r>
    </w:p>
    <w:p w14:paraId="7ECE6F49" w14:textId="77777777" w:rsidR="00DC1425" w:rsidRDefault="00DC1425"/>
    <w:p w14:paraId="50903EEB" w14:textId="77777777" w:rsidR="00037708" w:rsidRDefault="00492655" w:rsidP="005B7461">
      <w:pPr>
        <w:jc w:val="both"/>
      </w:pPr>
      <w:r>
        <w:t>F</w:t>
      </w:r>
      <w:r w:rsidR="00E87BCE">
        <w:t>igure 4</w:t>
      </w:r>
      <w:r w:rsidR="00490312">
        <w:t>.</w:t>
      </w:r>
      <w:r w:rsidR="00C45F6E">
        <w:t xml:space="preserve"> </w:t>
      </w:r>
      <w:r w:rsidR="006824A8">
        <w:t xml:space="preserve">Annotation of the QTL region on LG 44 including identification of putative genes in the region, functional </w:t>
      </w:r>
      <w:r w:rsidR="00E87BCE">
        <w:t>annotation</w:t>
      </w:r>
      <w:r w:rsidR="00193A24">
        <w:t xml:space="preserve"> </w:t>
      </w:r>
      <w:r w:rsidR="006824A8">
        <w:t xml:space="preserve">of SNPs. </w:t>
      </w:r>
    </w:p>
    <w:p w14:paraId="48CA8E38" w14:textId="77777777" w:rsidR="00E375EA" w:rsidRDefault="00E375EA">
      <w:pPr>
        <w:rPr>
          <w:sz w:val="28"/>
          <w:szCs w:val="28"/>
        </w:rPr>
      </w:pPr>
    </w:p>
    <w:p w14:paraId="1DBED3D0" w14:textId="77777777" w:rsidR="00E375EA" w:rsidRDefault="00E375EA">
      <w:pPr>
        <w:rPr>
          <w:sz w:val="28"/>
          <w:szCs w:val="28"/>
        </w:rPr>
      </w:pPr>
    </w:p>
    <w:p w14:paraId="3CD08165" w14:textId="77777777" w:rsidR="00E375EA" w:rsidRDefault="00E375EA">
      <w:pPr>
        <w:rPr>
          <w:sz w:val="28"/>
          <w:szCs w:val="28"/>
        </w:rPr>
      </w:pPr>
    </w:p>
    <w:p w14:paraId="2600C753" w14:textId="77777777" w:rsidR="00E375EA" w:rsidRDefault="00E375EA">
      <w:pPr>
        <w:rPr>
          <w:sz w:val="28"/>
          <w:szCs w:val="28"/>
        </w:rPr>
      </w:pPr>
    </w:p>
    <w:p w14:paraId="06EB8782" w14:textId="77777777" w:rsidR="00E375EA" w:rsidRDefault="00E375EA">
      <w:pPr>
        <w:rPr>
          <w:sz w:val="28"/>
          <w:szCs w:val="28"/>
        </w:rPr>
      </w:pPr>
    </w:p>
    <w:p w14:paraId="14BA3D3A" w14:textId="77777777" w:rsidR="00E375EA" w:rsidRDefault="00E375EA">
      <w:pPr>
        <w:rPr>
          <w:sz w:val="28"/>
          <w:szCs w:val="28"/>
        </w:rPr>
      </w:pPr>
    </w:p>
    <w:p w14:paraId="47CB99FC" w14:textId="77777777" w:rsidR="00E375EA" w:rsidRDefault="00E375EA">
      <w:pPr>
        <w:rPr>
          <w:sz w:val="28"/>
          <w:szCs w:val="28"/>
        </w:rPr>
      </w:pPr>
    </w:p>
    <w:p w14:paraId="68DF3010" w14:textId="77777777" w:rsidR="00E375EA" w:rsidRDefault="00E375EA">
      <w:pPr>
        <w:rPr>
          <w:sz w:val="28"/>
          <w:szCs w:val="28"/>
        </w:rPr>
      </w:pPr>
    </w:p>
    <w:p w14:paraId="5543B5A5" w14:textId="77777777" w:rsidR="00E375EA" w:rsidRDefault="00E375EA">
      <w:pPr>
        <w:rPr>
          <w:sz w:val="28"/>
          <w:szCs w:val="28"/>
        </w:rPr>
      </w:pPr>
    </w:p>
    <w:p w14:paraId="219C60FF" w14:textId="77777777" w:rsidR="00E375EA" w:rsidRDefault="00E375EA">
      <w:pPr>
        <w:rPr>
          <w:sz w:val="28"/>
          <w:szCs w:val="28"/>
        </w:rPr>
      </w:pPr>
    </w:p>
    <w:p w14:paraId="0741D940" w14:textId="77777777" w:rsidR="00E375EA" w:rsidRDefault="00E375EA">
      <w:pPr>
        <w:rPr>
          <w:sz w:val="28"/>
          <w:szCs w:val="28"/>
        </w:rPr>
      </w:pPr>
    </w:p>
    <w:p w14:paraId="04383216" w14:textId="77777777" w:rsidR="00E375EA" w:rsidRDefault="00E375EA">
      <w:pPr>
        <w:rPr>
          <w:sz w:val="28"/>
          <w:szCs w:val="28"/>
        </w:rPr>
      </w:pPr>
    </w:p>
    <w:p w14:paraId="7AE6348E" w14:textId="77777777" w:rsidR="00E375EA" w:rsidRDefault="00E375EA">
      <w:pPr>
        <w:rPr>
          <w:sz w:val="28"/>
          <w:szCs w:val="28"/>
        </w:rPr>
      </w:pPr>
    </w:p>
    <w:p w14:paraId="6C7B1F1F" w14:textId="77777777" w:rsidR="00E375EA" w:rsidRDefault="00E375EA">
      <w:pPr>
        <w:rPr>
          <w:sz w:val="28"/>
          <w:szCs w:val="28"/>
        </w:rPr>
      </w:pPr>
    </w:p>
    <w:p w14:paraId="4A65EC0F" w14:textId="77777777" w:rsidR="00E375EA" w:rsidRDefault="00E375EA">
      <w:pPr>
        <w:rPr>
          <w:sz w:val="28"/>
          <w:szCs w:val="28"/>
        </w:rPr>
      </w:pPr>
    </w:p>
    <w:p w14:paraId="431DE8C5" w14:textId="77777777" w:rsidR="00E375EA" w:rsidRDefault="00E375EA">
      <w:pPr>
        <w:rPr>
          <w:sz w:val="28"/>
          <w:szCs w:val="28"/>
        </w:rPr>
      </w:pPr>
    </w:p>
    <w:p w14:paraId="6D77A7ED" w14:textId="77777777" w:rsidR="00E375EA" w:rsidRDefault="00E375EA">
      <w:pPr>
        <w:rPr>
          <w:sz w:val="28"/>
          <w:szCs w:val="28"/>
        </w:rPr>
      </w:pPr>
    </w:p>
    <w:p w14:paraId="2272318D" w14:textId="77777777" w:rsidR="00E375EA" w:rsidRDefault="00E375EA">
      <w:pPr>
        <w:rPr>
          <w:sz w:val="28"/>
          <w:szCs w:val="28"/>
        </w:rPr>
      </w:pPr>
    </w:p>
    <w:p w14:paraId="11E3AAD8" w14:textId="77777777" w:rsidR="00E375EA" w:rsidRDefault="00E375EA">
      <w:pPr>
        <w:rPr>
          <w:sz w:val="28"/>
          <w:szCs w:val="28"/>
        </w:rPr>
      </w:pPr>
    </w:p>
    <w:p w14:paraId="661DD1EB" w14:textId="77777777" w:rsidR="00E375EA" w:rsidRDefault="00E375EA">
      <w:pPr>
        <w:rPr>
          <w:sz w:val="28"/>
          <w:szCs w:val="28"/>
        </w:rPr>
      </w:pPr>
    </w:p>
    <w:p w14:paraId="210B2014" w14:textId="77777777" w:rsidR="00E375EA" w:rsidRDefault="00E375EA">
      <w:pPr>
        <w:rPr>
          <w:sz w:val="28"/>
          <w:szCs w:val="28"/>
        </w:rPr>
      </w:pPr>
    </w:p>
    <w:p w14:paraId="42DA74D5" w14:textId="77777777" w:rsidR="00B76205" w:rsidRDefault="00B76205">
      <w:pPr>
        <w:rPr>
          <w:sz w:val="28"/>
          <w:szCs w:val="28"/>
        </w:rPr>
      </w:pPr>
    </w:p>
    <w:p w14:paraId="51C0F9DA" w14:textId="77777777" w:rsidR="00526F72" w:rsidRDefault="00526F72">
      <w:pPr>
        <w:rPr>
          <w:sz w:val="28"/>
          <w:szCs w:val="28"/>
        </w:rPr>
      </w:pPr>
    </w:p>
    <w:p w14:paraId="733DFE4D" w14:textId="77777777" w:rsidR="00E375EA" w:rsidRDefault="00E375EA">
      <w:pPr>
        <w:rPr>
          <w:sz w:val="28"/>
          <w:szCs w:val="28"/>
        </w:rPr>
      </w:pPr>
    </w:p>
    <w:p w14:paraId="2C51D592" w14:textId="77777777" w:rsidR="00E375EA" w:rsidRDefault="00E375EA">
      <w:pPr>
        <w:rPr>
          <w:sz w:val="28"/>
          <w:szCs w:val="28"/>
        </w:rPr>
      </w:pPr>
    </w:p>
    <w:p w14:paraId="5A7B16C8" w14:textId="77777777" w:rsidR="008E3480" w:rsidRDefault="008E3480">
      <w:pPr>
        <w:rPr>
          <w:sz w:val="28"/>
          <w:szCs w:val="28"/>
        </w:rPr>
      </w:pPr>
    </w:p>
    <w:p w14:paraId="3F25E134" w14:textId="77777777" w:rsidR="00F76193" w:rsidRDefault="00F76193">
      <w:pPr>
        <w:rPr>
          <w:sz w:val="28"/>
          <w:szCs w:val="28"/>
        </w:rPr>
      </w:pPr>
    </w:p>
    <w:p w14:paraId="2B3D6CF8" w14:textId="77777777" w:rsidR="00F76193" w:rsidRDefault="00F76193">
      <w:pPr>
        <w:rPr>
          <w:sz w:val="28"/>
          <w:szCs w:val="28"/>
        </w:rPr>
      </w:pPr>
    </w:p>
    <w:p w14:paraId="6E8A4134" w14:textId="77777777" w:rsidR="00F76193" w:rsidRDefault="00F76193">
      <w:pPr>
        <w:rPr>
          <w:sz w:val="28"/>
          <w:szCs w:val="28"/>
        </w:rPr>
      </w:pPr>
    </w:p>
    <w:p w14:paraId="48F4634C" w14:textId="77777777" w:rsidR="00F76193" w:rsidRDefault="00F76193">
      <w:pPr>
        <w:rPr>
          <w:sz w:val="28"/>
          <w:szCs w:val="28"/>
        </w:rPr>
      </w:pPr>
    </w:p>
    <w:p w14:paraId="62923ABE" w14:textId="77777777" w:rsidR="00F76193" w:rsidRDefault="00F76193">
      <w:pPr>
        <w:rPr>
          <w:sz w:val="28"/>
          <w:szCs w:val="28"/>
        </w:rPr>
      </w:pPr>
    </w:p>
    <w:p w14:paraId="1EE46697" w14:textId="77777777" w:rsidR="008E3480" w:rsidRDefault="008E3480">
      <w:pPr>
        <w:rPr>
          <w:sz w:val="28"/>
          <w:szCs w:val="28"/>
        </w:rPr>
      </w:pPr>
    </w:p>
    <w:p w14:paraId="3B4060FC" w14:textId="77777777" w:rsidR="00037708" w:rsidRPr="005871A0" w:rsidRDefault="00037708" w:rsidP="00E76B1C">
      <w:pPr>
        <w:outlineLvl w:val="0"/>
        <w:rPr>
          <w:sz w:val="28"/>
          <w:szCs w:val="28"/>
        </w:rPr>
      </w:pPr>
      <w:r w:rsidRPr="005871A0">
        <w:rPr>
          <w:sz w:val="28"/>
          <w:szCs w:val="28"/>
        </w:rPr>
        <w:t>Figures</w:t>
      </w:r>
    </w:p>
    <w:p w14:paraId="2FD56AE1" w14:textId="77777777" w:rsidR="00037708" w:rsidRDefault="00037708"/>
    <w:p w14:paraId="29721095" w14:textId="77777777" w:rsidR="00037708" w:rsidRPr="00190B28" w:rsidRDefault="00037708">
      <w:pPr>
        <w:rPr>
          <w:lang w:val="en-GB"/>
        </w:rPr>
      </w:pPr>
    </w:p>
    <w:p w14:paraId="17F2EB9D" w14:textId="77777777" w:rsidR="00037708" w:rsidRDefault="003519BD">
      <w:r>
        <w:rPr>
          <w:noProof/>
          <w:lang w:val="en-GB" w:eastAsia="en-GB"/>
        </w:rPr>
        <w:drawing>
          <wp:inline distT="0" distB="0" distL="0" distR="0" wp14:anchorId="78996B68" wp14:editId="30BA74D6">
            <wp:extent cx="5727700" cy="4052570"/>
            <wp:effectExtent l="0" t="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pdf"/>
                    <pic:cNvPicPr/>
                  </pic:nvPicPr>
                  <pic:blipFill>
                    <a:blip r:embed="rId8">
                      <a:extLst>
                        <a:ext uri="{28A0092B-C50C-407E-A947-70E740481C1C}">
                          <a14:useLocalDpi xmlns:a14="http://schemas.microsoft.com/office/drawing/2010/main" val="0"/>
                        </a:ext>
                      </a:extLst>
                    </a:blip>
                    <a:stretch>
                      <a:fillRect/>
                    </a:stretch>
                  </pic:blipFill>
                  <pic:spPr>
                    <a:xfrm>
                      <a:off x="0" y="0"/>
                      <a:ext cx="5727700" cy="4052570"/>
                    </a:xfrm>
                    <a:prstGeom prst="rect">
                      <a:avLst/>
                    </a:prstGeom>
                  </pic:spPr>
                </pic:pic>
              </a:graphicData>
            </a:graphic>
          </wp:inline>
        </w:drawing>
      </w:r>
    </w:p>
    <w:p w14:paraId="5D45A473" w14:textId="77777777" w:rsidR="00037708" w:rsidRDefault="00037708"/>
    <w:p w14:paraId="53C2B561" w14:textId="77777777" w:rsidR="00037708" w:rsidRDefault="005871A0" w:rsidP="00E76B1C">
      <w:pPr>
        <w:outlineLvl w:val="0"/>
      </w:pPr>
      <w:r>
        <w:t>Figure 1.</w:t>
      </w:r>
    </w:p>
    <w:p w14:paraId="6FB52FC3" w14:textId="77777777" w:rsidR="00037708" w:rsidRDefault="00037708"/>
    <w:p w14:paraId="14F650C4" w14:textId="77777777" w:rsidR="00037708" w:rsidRDefault="00037708"/>
    <w:p w14:paraId="48852BAC" w14:textId="77777777" w:rsidR="00257FF2" w:rsidRDefault="00257FF2"/>
    <w:p w14:paraId="37E92F5D" w14:textId="77777777" w:rsidR="00257FF2" w:rsidRDefault="00257FF2"/>
    <w:p w14:paraId="07CAE060" w14:textId="77777777" w:rsidR="00257FF2" w:rsidRDefault="00257FF2"/>
    <w:p w14:paraId="0D0E7155" w14:textId="77777777" w:rsidR="00257FF2" w:rsidRDefault="00257FF2"/>
    <w:p w14:paraId="7E1E9507" w14:textId="77777777" w:rsidR="00257FF2" w:rsidRDefault="00257FF2"/>
    <w:p w14:paraId="764834DC" w14:textId="77777777" w:rsidR="00257FF2" w:rsidRDefault="00257FF2"/>
    <w:p w14:paraId="4B20DDEC" w14:textId="77777777" w:rsidR="00257FF2" w:rsidRDefault="00257FF2"/>
    <w:p w14:paraId="46EE8645" w14:textId="77777777" w:rsidR="003519BD" w:rsidRDefault="003519BD"/>
    <w:p w14:paraId="47A1CF3F" w14:textId="77777777" w:rsidR="003519BD" w:rsidRDefault="003519BD"/>
    <w:p w14:paraId="259876FC" w14:textId="77777777" w:rsidR="003519BD" w:rsidRDefault="003519BD"/>
    <w:p w14:paraId="651965E1" w14:textId="77777777" w:rsidR="003519BD" w:rsidRDefault="003519BD"/>
    <w:p w14:paraId="1A665BC1" w14:textId="77777777" w:rsidR="003519BD" w:rsidRDefault="003519BD"/>
    <w:p w14:paraId="63DACDFB" w14:textId="77777777" w:rsidR="00B76A19" w:rsidRDefault="00B76A19"/>
    <w:p w14:paraId="5C1D1257" w14:textId="77777777" w:rsidR="00B76A19" w:rsidRDefault="007B1879">
      <w:r>
        <w:rPr>
          <w:noProof/>
          <w:lang w:val="en-GB" w:eastAsia="en-GB"/>
        </w:rPr>
        <w:lastRenderedPageBreak/>
        <w:drawing>
          <wp:inline distT="0" distB="0" distL="0" distR="0" wp14:anchorId="7C20F98D" wp14:editId="18127ED3">
            <wp:extent cx="5727700" cy="4052570"/>
            <wp:effectExtent l="0" t="0" r="1270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p_khv_gwas.pdf"/>
                    <pic:cNvPicPr/>
                  </pic:nvPicPr>
                  <pic:blipFill>
                    <a:blip r:embed="rId9">
                      <a:extLst>
                        <a:ext uri="{28A0092B-C50C-407E-A947-70E740481C1C}">
                          <a14:useLocalDpi xmlns:a14="http://schemas.microsoft.com/office/drawing/2010/main" val="0"/>
                        </a:ext>
                      </a:extLst>
                    </a:blip>
                    <a:stretch>
                      <a:fillRect/>
                    </a:stretch>
                  </pic:blipFill>
                  <pic:spPr>
                    <a:xfrm>
                      <a:off x="0" y="0"/>
                      <a:ext cx="5727700" cy="4052570"/>
                    </a:xfrm>
                    <a:prstGeom prst="rect">
                      <a:avLst/>
                    </a:prstGeom>
                  </pic:spPr>
                </pic:pic>
              </a:graphicData>
            </a:graphic>
          </wp:inline>
        </w:drawing>
      </w:r>
    </w:p>
    <w:p w14:paraId="62556C9E" w14:textId="77777777" w:rsidR="00B76A19" w:rsidRDefault="00492655" w:rsidP="00E76B1C">
      <w:pPr>
        <w:outlineLvl w:val="0"/>
      </w:pPr>
      <w:r>
        <w:t>Figure 2</w:t>
      </w:r>
      <w:r w:rsidR="00190B28">
        <w:t>.</w:t>
      </w:r>
    </w:p>
    <w:p w14:paraId="0234E183" w14:textId="77777777" w:rsidR="00B76A19" w:rsidRDefault="00B76A19"/>
    <w:p w14:paraId="41BC1896" w14:textId="77777777" w:rsidR="00B76A19" w:rsidRDefault="00B76A19"/>
    <w:p w14:paraId="6807FC99" w14:textId="77777777" w:rsidR="00B76A19" w:rsidRDefault="00B76A19"/>
    <w:p w14:paraId="15725CB7" w14:textId="77777777" w:rsidR="00B76A19" w:rsidRDefault="00B76A19"/>
    <w:p w14:paraId="5F5B97DE" w14:textId="77777777" w:rsidR="00490312" w:rsidRDefault="00490312"/>
    <w:p w14:paraId="57DE131D" w14:textId="77777777" w:rsidR="00490312" w:rsidRDefault="00C60F12">
      <w:r>
        <w:rPr>
          <w:noProof/>
          <w:lang w:val="en-GB" w:eastAsia="en-GB"/>
        </w:rPr>
        <w:lastRenderedPageBreak/>
        <w:drawing>
          <wp:inline distT="0" distB="0" distL="0" distR="0" wp14:anchorId="18982E03" wp14:editId="2129D5E6">
            <wp:extent cx="5727700" cy="4917440"/>
            <wp:effectExtent l="0" t="0" r="1270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df"/>
                    <pic:cNvPicPr/>
                  </pic:nvPicPr>
                  <pic:blipFill>
                    <a:blip r:embed="rId10">
                      <a:extLst>
                        <a:ext uri="{28A0092B-C50C-407E-A947-70E740481C1C}">
                          <a14:useLocalDpi xmlns:a14="http://schemas.microsoft.com/office/drawing/2010/main" val="0"/>
                        </a:ext>
                      </a:extLst>
                    </a:blip>
                    <a:stretch>
                      <a:fillRect/>
                    </a:stretch>
                  </pic:blipFill>
                  <pic:spPr>
                    <a:xfrm>
                      <a:off x="0" y="0"/>
                      <a:ext cx="5727700" cy="4917440"/>
                    </a:xfrm>
                    <a:prstGeom prst="rect">
                      <a:avLst/>
                    </a:prstGeom>
                  </pic:spPr>
                </pic:pic>
              </a:graphicData>
            </a:graphic>
          </wp:inline>
        </w:drawing>
      </w:r>
    </w:p>
    <w:p w14:paraId="7D9015D9" w14:textId="77777777" w:rsidR="00490312" w:rsidRDefault="00490312"/>
    <w:p w14:paraId="1BA32FA1" w14:textId="77777777" w:rsidR="00D33ECE" w:rsidRDefault="00D33ECE"/>
    <w:p w14:paraId="5E66E876" w14:textId="77777777" w:rsidR="00D33ECE" w:rsidRPr="00C128F0" w:rsidRDefault="00D33ECE">
      <w:pPr>
        <w:rPr>
          <w:lang w:val="en-GB"/>
        </w:rPr>
      </w:pPr>
    </w:p>
    <w:p w14:paraId="2CF0E0D1" w14:textId="77777777" w:rsidR="00D33ECE" w:rsidRDefault="005844DC">
      <w:r>
        <w:t>Figure 3</w:t>
      </w:r>
    </w:p>
    <w:p w14:paraId="2FED859F" w14:textId="77777777" w:rsidR="00D33ECE" w:rsidRDefault="00D33ECE"/>
    <w:p w14:paraId="462BFA7B" w14:textId="77777777" w:rsidR="00D33ECE" w:rsidRDefault="00D33ECE"/>
    <w:p w14:paraId="203512BB" w14:textId="77777777" w:rsidR="00D33ECE" w:rsidRDefault="00D33ECE"/>
    <w:p w14:paraId="2F1C65CE" w14:textId="77777777" w:rsidR="00D33ECE" w:rsidRDefault="00D33ECE"/>
    <w:p w14:paraId="6F7A4974" w14:textId="77777777" w:rsidR="00D33ECE" w:rsidRDefault="00D33ECE"/>
    <w:p w14:paraId="4160DB21" w14:textId="77777777" w:rsidR="00D33ECE" w:rsidRDefault="00D33ECE"/>
    <w:p w14:paraId="3BC361B9" w14:textId="77777777" w:rsidR="00D33ECE" w:rsidRDefault="00D33ECE"/>
    <w:p w14:paraId="5188BCCA" w14:textId="77777777" w:rsidR="00D33ECE" w:rsidRDefault="00D33ECE"/>
    <w:p w14:paraId="05BF6F46" w14:textId="77777777" w:rsidR="00D33ECE" w:rsidRDefault="00D33ECE"/>
    <w:p w14:paraId="1C1C7466" w14:textId="77777777" w:rsidR="00D33ECE" w:rsidRDefault="00D33ECE"/>
    <w:p w14:paraId="0AAA27BA" w14:textId="77777777" w:rsidR="00D33ECE" w:rsidRDefault="00D33ECE"/>
    <w:p w14:paraId="3CC2C6AA" w14:textId="77777777" w:rsidR="00D33ECE" w:rsidRDefault="00D33ECE"/>
    <w:p w14:paraId="174C3529" w14:textId="77777777" w:rsidR="00D33ECE" w:rsidRDefault="00D33ECE"/>
    <w:p w14:paraId="61A031B8" w14:textId="77777777" w:rsidR="00D33ECE" w:rsidRDefault="00D33ECE"/>
    <w:p w14:paraId="59A05927" w14:textId="77777777" w:rsidR="00D33ECE" w:rsidRDefault="00D33ECE"/>
    <w:p w14:paraId="778909ED" w14:textId="77777777" w:rsidR="00D33ECE" w:rsidRDefault="00D33ECE"/>
    <w:p w14:paraId="5F4EC45A" w14:textId="77777777" w:rsidR="00D33ECE" w:rsidRDefault="00F76193">
      <w:r>
        <w:rPr>
          <w:noProof/>
          <w:lang w:val="en-GB" w:eastAsia="en-GB"/>
        </w:rPr>
        <w:lastRenderedPageBreak/>
        <w:drawing>
          <wp:inline distT="0" distB="0" distL="0" distR="0" wp14:anchorId="5CFFA3DB" wp14:editId="563DF774">
            <wp:extent cx="5622625" cy="2198663"/>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romosome_33_small_WGS.png"/>
                    <pic:cNvPicPr/>
                  </pic:nvPicPr>
                  <pic:blipFill>
                    <a:blip r:embed="rId11"/>
                    <a:stretch>
                      <a:fillRect/>
                    </a:stretch>
                  </pic:blipFill>
                  <pic:spPr>
                    <a:xfrm>
                      <a:off x="0" y="0"/>
                      <a:ext cx="5625075" cy="2199621"/>
                    </a:xfrm>
                    <a:prstGeom prst="rect">
                      <a:avLst/>
                    </a:prstGeom>
                  </pic:spPr>
                </pic:pic>
              </a:graphicData>
            </a:graphic>
          </wp:inline>
        </w:drawing>
      </w:r>
    </w:p>
    <w:p w14:paraId="6BCFA941" w14:textId="77777777" w:rsidR="000D7706" w:rsidRDefault="000D7706"/>
    <w:p w14:paraId="189D066C" w14:textId="77777777" w:rsidR="00D33ECE" w:rsidRDefault="005E42DC">
      <w:r>
        <w:t>Fi</w:t>
      </w:r>
      <w:r w:rsidR="00F76193">
        <w:t>gure 4</w:t>
      </w:r>
      <w:r w:rsidR="00D33ECE">
        <w:t>.</w:t>
      </w:r>
    </w:p>
    <w:p w14:paraId="5B0C0E9C" w14:textId="77777777" w:rsidR="00D33ECE" w:rsidRDefault="00D33ECE"/>
    <w:sectPr w:rsidR="00D33ECE" w:rsidSect="00983549">
      <w:footerReference w:type="even" r:id="rId12"/>
      <w:footerReference w:type="default" r:id="rId13"/>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C853B" w14:textId="77777777" w:rsidR="00082520" w:rsidRDefault="00082520" w:rsidP="00D62B6E">
      <w:r>
        <w:separator/>
      </w:r>
    </w:p>
  </w:endnote>
  <w:endnote w:type="continuationSeparator" w:id="0">
    <w:p w14:paraId="1080E8EB" w14:textId="77777777" w:rsidR="00082520" w:rsidRDefault="00082520" w:rsidP="00D6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ebkit-standard">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6211" w14:textId="77777777" w:rsidR="00342E54" w:rsidRDefault="00342E54" w:rsidP="0016279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A80436" w14:textId="77777777" w:rsidR="00342E54" w:rsidRDefault="00342E54" w:rsidP="009835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2ADE5" w14:textId="2F092D8D" w:rsidR="00342E54" w:rsidRDefault="00342E54" w:rsidP="0016279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D75E71B" w14:textId="77777777" w:rsidR="00342E54" w:rsidRDefault="00342E54" w:rsidP="009835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9EE12" w14:textId="77777777" w:rsidR="00082520" w:rsidRDefault="00082520" w:rsidP="00D62B6E">
      <w:r>
        <w:separator/>
      </w:r>
    </w:p>
  </w:footnote>
  <w:footnote w:type="continuationSeparator" w:id="0">
    <w:p w14:paraId="5E42FDFB" w14:textId="77777777" w:rsidR="00082520" w:rsidRDefault="00082520" w:rsidP="00D62B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04283F"/>
    <w:multiLevelType w:val="hybridMultilevel"/>
    <w:tmpl w:val="C91CF5DC"/>
    <w:lvl w:ilvl="0" w:tplc="B582ACBC">
      <w:start w:val="1"/>
      <w:numFmt w:val="lowerLetter"/>
      <w:lvlText w:val="%1)"/>
      <w:lvlJc w:val="left"/>
      <w:pPr>
        <w:ind w:left="502"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5E0"/>
    <w:rsid w:val="000078DE"/>
    <w:rsid w:val="00012B4C"/>
    <w:rsid w:val="000145BD"/>
    <w:rsid w:val="000159AC"/>
    <w:rsid w:val="00016014"/>
    <w:rsid w:val="000209AB"/>
    <w:rsid w:val="00020B62"/>
    <w:rsid w:val="00020F86"/>
    <w:rsid w:val="00025050"/>
    <w:rsid w:val="00026F71"/>
    <w:rsid w:val="00030E3F"/>
    <w:rsid w:val="000333A4"/>
    <w:rsid w:val="000360BE"/>
    <w:rsid w:val="00037059"/>
    <w:rsid w:val="00037708"/>
    <w:rsid w:val="000469C2"/>
    <w:rsid w:val="00046E07"/>
    <w:rsid w:val="00047B9A"/>
    <w:rsid w:val="0005486D"/>
    <w:rsid w:val="00057774"/>
    <w:rsid w:val="000601CB"/>
    <w:rsid w:val="00060747"/>
    <w:rsid w:val="00063B89"/>
    <w:rsid w:val="00064855"/>
    <w:rsid w:val="00065380"/>
    <w:rsid w:val="00073B77"/>
    <w:rsid w:val="00075906"/>
    <w:rsid w:val="00076E47"/>
    <w:rsid w:val="00081AC7"/>
    <w:rsid w:val="00082520"/>
    <w:rsid w:val="00084716"/>
    <w:rsid w:val="000866BB"/>
    <w:rsid w:val="00087B29"/>
    <w:rsid w:val="000921F0"/>
    <w:rsid w:val="0009225C"/>
    <w:rsid w:val="0009613D"/>
    <w:rsid w:val="000A3284"/>
    <w:rsid w:val="000A6F42"/>
    <w:rsid w:val="000A7862"/>
    <w:rsid w:val="000B2530"/>
    <w:rsid w:val="000B3EB7"/>
    <w:rsid w:val="000B5FC7"/>
    <w:rsid w:val="000B7928"/>
    <w:rsid w:val="000C1B04"/>
    <w:rsid w:val="000C2ECF"/>
    <w:rsid w:val="000C64EB"/>
    <w:rsid w:val="000C6BF4"/>
    <w:rsid w:val="000C7E74"/>
    <w:rsid w:val="000D3FFC"/>
    <w:rsid w:val="000D4FB0"/>
    <w:rsid w:val="000D6D33"/>
    <w:rsid w:val="000D6E9E"/>
    <w:rsid w:val="000D704F"/>
    <w:rsid w:val="000D7285"/>
    <w:rsid w:val="000D7706"/>
    <w:rsid w:val="000E092A"/>
    <w:rsid w:val="000E50EA"/>
    <w:rsid w:val="000F2FE0"/>
    <w:rsid w:val="000F635D"/>
    <w:rsid w:val="00113E6F"/>
    <w:rsid w:val="0011444F"/>
    <w:rsid w:val="00114483"/>
    <w:rsid w:val="0011472B"/>
    <w:rsid w:val="001203BB"/>
    <w:rsid w:val="001220E8"/>
    <w:rsid w:val="0012248B"/>
    <w:rsid w:val="0012506B"/>
    <w:rsid w:val="00125497"/>
    <w:rsid w:val="00126C69"/>
    <w:rsid w:val="001315E0"/>
    <w:rsid w:val="00134445"/>
    <w:rsid w:val="00134E39"/>
    <w:rsid w:val="00135B5E"/>
    <w:rsid w:val="001362CE"/>
    <w:rsid w:val="00141F17"/>
    <w:rsid w:val="00143791"/>
    <w:rsid w:val="0014472E"/>
    <w:rsid w:val="00150DBA"/>
    <w:rsid w:val="001516D7"/>
    <w:rsid w:val="001610FC"/>
    <w:rsid w:val="00162796"/>
    <w:rsid w:val="001666A0"/>
    <w:rsid w:val="00170644"/>
    <w:rsid w:val="00171AC3"/>
    <w:rsid w:val="00173C0B"/>
    <w:rsid w:val="00174BBA"/>
    <w:rsid w:val="0017699C"/>
    <w:rsid w:val="0018119A"/>
    <w:rsid w:val="00181BAB"/>
    <w:rsid w:val="001827AD"/>
    <w:rsid w:val="00190B28"/>
    <w:rsid w:val="00193A24"/>
    <w:rsid w:val="00193F07"/>
    <w:rsid w:val="001941E2"/>
    <w:rsid w:val="001959EE"/>
    <w:rsid w:val="0019745B"/>
    <w:rsid w:val="00197621"/>
    <w:rsid w:val="001A15DE"/>
    <w:rsid w:val="001A37C5"/>
    <w:rsid w:val="001A4BC1"/>
    <w:rsid w:val="001A607F"/>
    <w:rsid w:val="001B4925"/>
    <w:rsid w:val="001B6529"/>
    <w:rsid w:val="001C083B"/>
    <w:rsid w:val="001C309B"/>
    <w:rsid w:val="001C3EFF"/>
    <w:rsid w:val="001C4405"/>
    <w:rsid w:val="001D5C7D"/>
    <w:rsid w:val="001E358B"/>
    <w:rsid w:val="001E410B"/>
    <w:rsid w:val="001E65E3"/>
    <w:rsid w:val="001F1F56"/>
    <w:rsid w:val="001F2548"/>
    <w:rsid w:val="001F3161"/>
    <w:rsid w:val="00200E3D"/>
    <w:rsid w:val="00202599"/>
    <w:rsid w:val="00202A4F"/>
    <w:rsid w:val="0020477B"/>
    <w:rsid w:val="00210D57"/>
    <w:rsid w:val="002110BF"/>
    <w:rsid w:val="00211699"/>
    <w:rsid w:val="00212F0E"/>
    <w:rsid w:val="002216F0"/>
    <w:rsid w:val="002253BA"/>
    <w:rsid w:val="002407EC"/>
    <w:rsid w:val="002424EC"/>
    <w:rsid w:val="002429A5"/>
    <w:rsid w:val="0024523C"/>
    <w:rsid w:val="00247019"/>
    <w:rsid w:val="0025062B"/>
    <w:rsid w:val="0025665D"/>
    <w:rsid w:val="00256A6C"/>
    <w:rsid w:val="00257FF2"/>
    <w:rsid w:val="00260B45"/>
    <w:rsid w:val="00261DC3"/>
    <w:rsid w:val="0026475A"/>
    <w:rsid w:val="002705DE"/>
    <w:rsid w:val="00270AF2"/>
    <w:rsid w:val="00271270"/>
    <w:rsid w:val="002808C4"/>
    <w:rsid w:val="002817B1"/>
    <w:rsid w:val="002824B5"/>
    <w:rsid w:val="00285367"/>
    <w:rsid w:val="00292111"/>
    <w:rsid w:val="0029262E"/>
    <w:rsid w:val="00293999"/>
    <w:rsid w:val="0029408A"/>
    <w:rsid w:val="002A2A23"/>
    <w:rsid w:val="002A42DB"/>
    <w:rsid w:val="002A50B3"/>
    <w:rsid w:val="002A59D1"/>
    <w:rsid w:val="002C6628"/>
    <w:rsid w:val="002D3B32"/>
    <w:rsid w:val="002D5B77"/>
    <w:rsid w:val="002E1E3B"/>
    <w:rsid w:val="002E612E"/>
    <w:rsid w:val="002F1022"/>
    <w:rsid w:val="002F26DA"/>
    <w:rsid w:val="002F42C3"/>
    <w:rsid w:val="002F4F34"/>
    <w:rsid w:val="002F72EF"/>
    <w:rsid w:val="003036D6"/>
    <w:rsid w:val="00303A94"/>
    <w:rsid w:val="003054AE"/>
    <w:rsid w:val="003126E3"/>
    <w:rsid w:val="003139A2"/>
    <w:rsid w:val="00316667"/>
    <w:rsid w:val="003167E7"/>
    <w:rsid w:val="003273E8"/>
    <w:rsid w:val="003302D7"/>
    <w:rsid w:val="00334ABA"/>
    <w:rsid w:val="003364BA"/>
    <w:rsid w:val="00336F50"/>
    <w:rsid w:val="0033729B"/>
    <w:rsid w:val="00337B1B"/>
    <w:rsid w:val="00337D81"/>
    <w:rsid w:val="003409DA"/>
    <w:rsid w:val="00342E54"/>
    <w:rsid w:val="003437A2"/>
    <w:rsid w:val="00344FD1"/>
    <w:rsid w:val="00350FB0"/>
    <w:rsid w:val="003519BD"/>
    <w:rsid w:val="00354FA6"/>
    <w:rsid w:val="0036277F"/>
    <w:rsid w:val="00364F97"/>
    <w:rsid w:val="00380FBA"/>
    <w:rsid w:val="003846E8"/>
    <w:rsid w:val="003858EE"/>
    <w:rsid w:val="003915FE"/>
    <w:rsid w:val="003917B8"/>
    <w:rsid w:val="003A022C"/>
    <w:rsid w:val="003A318B"/>
    <w:rsid w:val="003A4FBA"/>
    <w:rsid w:val="003A6725"/>
    <w:rsid w:val="003A7E32"/>
    <w:rsid w:val="003B006A"/>
    <w:rsid w:val="003B1DED"/>
    <w:rsid w:val="003B6C7A"/>
    <w:rsid w:val="003C328F"/>
    <w:rsid w:val="003C3662"/>
    <w:rsid w:val="003E4C45"/>
    <w:rsid w:val="003E5272"/>
    <w:rsid w:val="003E6310"/>
    <w:rsid w:val="003F1084"/>
    <w:rsid w:val="003F3CDB"/>
    <w:rsid w:val="003F4849"/>
    <w:rsid w:val="003F4B0A"/>
    <w:rsid w:val="00400153"/>
    <w:rsid w:val="00401F2B"/>
    <w:rsid w:val="004043A7"/>
    <w:rsid w:val="004050F2"/>
    <w:rsid w:val="0041009B"/>
    <w:rsid w:val="00412558"/>
    <w:rsid w:val="00412566"/>
    <w:rsid w:val="0041289A"/>
    <w:rsid w:val="0041319A"/>
    <w:rsid w:val="00416324"/>
    <w:rsid w:val="004173A6"/>
    <w:rsid w:val="00420F8F"/>
    <w:rsid w:val="0042180D"/>
    <w:rsid w:val="00422F9E"/>
    <w:rsid w:val="00423882"/>
    <w:rsid w:val="00426DBD"/>
    <w:rsid w:val="00426E44"/>
    <w:rsid w:val="00432964"/>
    <w:rsid w:val="00433E72"/>
    <w:rsid w:val="00434494"/>
    <w:rsid w:val="0043583C"/>
    <w:rsid w:val="00435F5F"/>
    <w:rsid w:val="00437FF2"/>
    <w:rsid w:val="00440633"/>
    <w:rsid w:val="0044352B"/>
    <w:rsid w:val="004474B6"/>
    <w:rsid w:val="00447F45"/>
    <w:rsid w:val="004528CD"/>
    <w:rsid w:val="00452C10"/>
    <w:rsid w:val="00454DF5"/>
    <w:rsid w:val="00455E6C"/>
    <w:rsid w:val="004570F0"/>
    <w:rsid w:val="0046433C"/>
    <w:rsid w:val="0046528A"/>
    <w:rsid w:val="0046530D"/>
    <w:rsid w:val="004723BE"/>
    <w:rsid w:val="00472642"/>
    <w:rsid w:val="004741C4"/>
    <w:rsid w:val="00480B1F"/>
    <w:rsid w:val="00481057"/>
    <w:rsid w:val="00482FAF"/>
    <w:rsid w:val="00483471"/>
    <w:rsid w:val="0048534E"/>
    <w:rsid w:val="004856A1"/>
    <w:rsid w:val="004879D7"/>
    <w:rsid w:val="00490312"/>
    <w:rsid w:val="0049110F"/>
    <w:rsid w:val="00492655"/>
    <w:rsid w:val="004A066C"/>
    <w:rsid w:val="004A3328"/>
    <w:rsid w:val="004A40D9"/>
    <w:rsid w:val="004A553F"/>
    <w:rsid w:val="004A7B49"/>
    <w:rsid w:val="004B0C97"/>
    <w:rsid w:val="004B1825"/>
    <w:rsid w:val="004B2520"/>
    <w:rsid w:val="004B5B58"/>
    <w:rsid w:val="004C2528"/>
    <w:rsid w:val="004C4110"/>
    <w:rsid w:val="004C47F6"/>
    <w:rsid w:val="004C5941"/>
    <w:rsid w:val="004D0EB1"/>
    <w:rsid w:val="004E137F"/>
    <w:rsid w:val="004E280F"/>
    <w:rsid w:val="004E2872"/>
    <w:rsid w:val="004E4275"/>
    <w:rsid w:val="004E5A73"/>
    <w:rsid w:val="004E6863"/>
    <w:rsid w:val="004E6A3B"/>
    <w:rsid w:val="004F1E97"/>
    <w:rsid w:val="004F4FA3"/>
    <w:rsid w:val="004F592F"/>
    <w:rsid w:val="00501C50"/>
    <w:rsid w:val="005040ED"/>
    <w:rsid w:val="00504C82"/>
    <w:rsid w:val="00505B83"/>
    <w:rsid w:val="00506AE3"/>
    <w:rsid w:val="005073BD"/>
    <w:rsid w:val="005104F2"/>
    <w:rsid w:val="00512125"/>
    <w:rsid w:val="00515F8B"/>
    <w:rsid w:val="00517A63"/>
    <w:rsid w:val="00521564"/>
    <w:rsid w:val="00526F72"/>
    <w:rsid w:val="00527E6F"/>
    <w:rsid w:val="0053047F"/>
    <w:rsid w:val="00530920"/>
    <w:rsid w:val="00535CF0"/>
    <w:rsid w:val="005438CA"/>
    <w:rsid w:val="00544E3B"/>
    <w:rsid w:val="005469A6"/>
    <w:rsid w:val="00560C6D"/>
    <w:rsid w:val="00567A83"/>
    <w:rsid w:val="00570767"/>
    <w:rsid w:val="00572EAC"/>
    <w:rsid w:val="005754DE"/>
    <w:rsid w:val="005829BF"/>
    <w:rsid w:val="005844DC"/>
    <w:rsid w:val="00586AA0"/>
    <w:rsid w:val="005871A0"/>
    <w:rsid w:val="005900AD"/>
    <w:rsid w:val="005900E9"/>
    <w:rsid w:val="005901E1"/>
    <w:rsid w:val="005938A7"/>
    <w:rsid w:val="005A61F2"/>
    <w:rsid w:val="005B2572"/>
    <w:rsid w:val="005B5214"/>
    <w:rsid w:val="005B56FC"/>
    <w:rsid w:val="005B5A0D"/>
    <w:rsid w:val="005B7461"/>
    <w:rsid w:val="005B7F2E"/>
    <w:rsid w:val="005C04F5"/>
    <w:rsid w:val="005C10B8"/>
    <w:rsid w:val="005C3ED6"/>
    <w:rsid w:val="005C4D3E"/>
    <w:rsid w:val="005C737B"/>
    <w:rsid w:val="005C7C17"/>
    <w:rsid w:val="005C7E87"/>
    <w:rsid w:val="005D018A"/>
    <w:rsid w:val="005D1D77"/>
    <w:rsid w:val="005D1EDE"/>
    <w:rsid w:val="005D4FE2"/>
    <w:rsid w:val="005D5CEE"/>
    <w:rsid w:val="005E42DC"/>
    <w:rsid w:val="005E45D3"/>
    <w:rsid w:val="005E638A"/>
    <w:rsid w:val="005E7480"/>
    <w:rsid w:val="005F4F0B"/>
    <w:rsid w:val="00601703"/>
    <w:rsid w:val="0060211D"/>
    <w:rsid w:val="0060588B"/>
    <w:rsid w:val="00611C84"/>
    <w:rsid w:val="0061439D"/>
    <w:rsid w:val="00620277"/>
    <w:rsid w:val="00626817"/>
    <w:rsid w:val="006273A0"/>
    <w:rsid w:val="0062778D"/>
    <w:rsid w:val="00637367"/>
    <w:rsid w:val="00642CD9"/>
    <w:rsid w:val="00643EC2"/>
    <w:rsid w:val="006462A4"/>
    <w:rsid w:val="00647449"/>
    <w:rsid w:val="0065331A"/>
    <w:rsid w:val="006533F0"/>
    <w:rsid w:val="006537F2"/>
    <w:rsid w:val="00653962"/>
    <w:rsid w:val="00656973"/>
    <w:rsid w:val="00662829"/>
    <w:rsid w:val="00672084"/>
    <w:rsid w:val="00676F3B"/>
    <w:rsid w:val="006824A8"/>
    <w:rsid w:val="0068472A"/>
    <w:rsid w:val="00687170"/>
    <w:rsid w:val="00687A38"/>
    <w:rsid w:val="00687A4A"/>
    <w:rsid w:val="006907E8"/>
    <w:rsid w:val="00691B1E"/>
    <w:rsid w:val="0069529C"/>
    <w:rsid w:val="006B6A14"/>
    <w:rsid w:val="006C558F"/>
    <w:rsid w:val="006C62B7"/>
    <w:rsid w:val="006D1A44"/>
    <w:rsid w:val="006D6FAB"/>
    <w:rsid w:val="006E1276"/>
    <w:rsid w:val="006E2677"/>
    <w:rsid w:val="006E58A7"/>
    <w:rsid w:val="006E5B47"/>
    <w:rsid w:val="006F39F2"/>
    <w:rsid w:val="006F4CFD"/>
    <w:rsid w:val="006F5D46"/>
    <w:rsid w:val="006F738F"/>
    <w:rsid w:val="006F785D"/>
    <w:rsid w:val="00701E47"/>
    <w:rsid w:val="00705189"/>
    <w:rsid w:val="0071156F"/>
    <w:rsid w:val="007116D1"/>
    <w:rsid w:val="00712363"/>
    <w:rsid w:val="00713536"/>
    <w:rsid w:val="00722D05"/>
    <w:rsid w:val="0072577E"/>
    <w:rsid w:val="00725DD8"/>
    <w:rsid w:val="00730D10"/>
    <w:rsid w:val="00731D3E"/>
    <w:rsid w:val="0073491F"/>
    <w:rsid w:val="00735CBF"/>
    <w:rsid w:val="0073748D"/>
    <w:rsid w:val="00747C3F"/>
    <w:rsid w:val="0076127B"/>
    <w:rsid w:val="007621CA"/>
    <w:rsid w:val="00762AAE"/>
    <w:rsid w:val="00763D77"/>
    <w:rsid w:val="00767F26"/>
    <w:rsid w:val="0077072E"/>
    <w:rsid w:val="00775243"/>
    <w:rsid w:val="00775839"/>
    <w:rsid w:val="00777EC8"/>
    <w:rsid w:val="00786471"/>
    <w:rsid w:val="007A18B0"/>
    <w:rsid w:val="007A4859"/>
    <w:rsid w:val="007A6DB5"/>
    <w:rsid w:val="007B1879"/>
    <w:rsid w:val="007C655F"/>
    <w:rsid w:val="007C7350"/>
    <w:rsid w:val="007D0BFE"/>
    <w:rsid w:val="007D12AE"/>
    <w:rsid w:val="007D2BB8"/>
    <w:rsid w:val="007D3C49"/>
    <w:rsid w:val="007D3E2F"/>
    <w:rsid w:val="007D58F6"/>
    <w:rsid w:val="007D5A7E"/>
    <w:rsid w:val="007D6AB3"/>
    <w:rsid w:val="007E6FBE"/>
    <w:rsid w:val="007E749A"/>
    <w:rsid w:val="007F5D89"/>
    <w:rsid w:val="00804F48"/>
    <w:rsid w:val="00807C0E"/>
    <w:rsid w:val="0081574D"/>
    <w:rsid w:val="00816EB2"/>
    <w:rsid w:val="008236C4"/>
    <w:rsid w:val="00827244"/>
    <w:rsid w:val="00835A72"/>
    <w:rsid w:val="00835CBA"/>
    <w:rsid w:val="00840223"/>
    <w:rsid w:val="00841D94"/>
    <w:rsid w:val="00843147"/>
    <w:rsid w:val="00843430"/>
    <w:rsid w:val="00843939"/>
    <w:rsid w:val="00845692"/>
    <w:rsid w:val="008470CE"/>
    <w:rsid w:val="008507EB"/>
    <w:rsid w:val="00854545"/>
    <w:rsid w:val="008624B6"/>
    <w:rsid w:val="00864BEF"/>
    <w:rsid w:val="00865938"/>
    <w:rsid w:val="00866A29"/>
    <w:rsid w:val="008676EC"/>
    <w:rsid w:val="00876015"/>
    <w:rsid w:val="00876CE3"/>
    <w:rsid w:val="008776F1"/>
    <w:rsid w:val="00881853"/>
    <w:rsid w:val="00882E58"/>
    <w:rsid w:val="0088441F"/>
    <w:rsid w:val="00885F83"/>
    <w:rsid w:val="00891D24"/>
    <w:rsid w:val="0089478C"/>
    <w:rsid w:val="008975F4"/>
    <w:rsid w:val="008A0B3D"/>
    <w:rsid w:val="008A3301"/>
    <w:rsid w:val="008A4367"/>
    <w:rsid w:val="008B0428"/>
    <w:rsid w:val="008B3CF0"/>
    <w:rsid w:val="008B62DF"/>
    <w:rsid w:val="008C3D98"/>
    <w:rsid w:val="008D02C5"/>
    <w:rsid w:val="008D129E"/>
    <w:rsid w:val="008D425D"/>
    <w:rsid w:val="008E001D"/>
    <w:rsid w:val="008E14A5"/>
    <w:rsid w:val="008E16D9"/>
    <w:rsid w:val="008E338C"/>
    <w:rsid w:val="008E3480"/>
    <w:rsid w:val="008E4F64"/>
    <w:rsid w:val="008E52E4"/>
    <w:rsid w:val="008E71F1"/>
    <w:rsid w:val="008F27FD"/>
    <w:rsid w:val="008F5474"/>
    <w:rsid w:val="008F5FC7"/>
    <w:rsid w:val="008F667C"/>
    <w:rsid w:val="0090371B"/>
    <w:rsid w:val="00905A52"/>
    <w:rsid w:val="00907715"/>
    <w:rsid w:val="00910BB3"/>
    <w:rsid w:val="00910EA6"/>
    <w:rsid w:val="0091131F"/>
    <w:rsid w:val="00912047"/>
    <w:rsid w:val="00912989"/>
    <w:rsid w:val="00912E5B"/>
    <w:rsid w:val="00914E8F"/>
    <w:rsid w:val="009177A7"/>
    <w:rsid w:val="0092076A"/>
    <w:rsid w:val="00920EB1"/>
    <w:rsid w:val="0092238B"/>
    <w:rsid w:val="0092245A"/>
    <w:rsid w:val="00924D5A"/>
    <w:rsid w:val="00925215"/>
    <w:rsid w:val="009304CB"/>
    <w:rsid w:val="009372C0"/>
    <w:rsid w:val="00941CF0"/>
    <w:rsid w:val="00941D12"/>
    <w:rsid w:val="00946E39"/>
    <w:rsid w:val="00947043"/>
    <w:rsid w:val="0095015E"/>
    <w:rsid w:val="0095167E"/>
    <w:rsid w:val="00960304"/>
    <w:rsid w:val="00963C44"/>
    <w:rsid w:val="0096684E"/>
    <w:rsid w:val="00970105"/>
    <w:rsid w:val="00983549"/>
    <w:rsid w:val="00983D25"/>
    <w:rsid w:val="009870DE"/>
    <w:rsid w:val="00990912"/>
    <w:rsid w:val="009914BF"/>
    <w:rsid w:val="009936BF"/>
    <w:rsid w:val="00995316"/>
    <w:rsid w:val="009A795F"/>
    <w:rsid w:val="009A7BCA"/>
    <w:rsid w:val="009B3DF7"/>
    <w:rsid w:val="009B416B"/>
    <w:rsid w:val="009B58D3"/>
    <w:rsid w:val="009B7F02"/>
    <w:rsid w:val="009C09F0"/>
    <w:rsid w:val="009C1C51"/>
    <w:rsid w:val="009C1F40"/>
    <w:rsid w:val="009C2C82"/>
    <w:rsid w:val="009C4899"/>
    <w:rsid w:val="009C4F9A"/>
    <w:rsid w:val="009C5737"/>
    <w:rsid w:val="009C7624"/>
    <w:rsid w:val="009C7657"/>
    <w:rsid w:val="009D4DB4"/>
    <w:rsid w:val="009D5CD9"/>
    <w:rsid w:val="009E00C3"/>
    <w:rsid w:val="009E3A3F"/>
    <w:rsid w:val="009E42F7"/>
    <w:rsid w:val="009F3128"/>
    <w:rsid w:val="00A025D9"/>
    <w:rsid w:val="00A03DCE"/>
    <w:rsid w:val="00A03DF1"/>
    <w:rsid w:val="00A07329"/>
    <w:rsid w:val="00A107F6"/>
    <w:rsid w:val="00A111A6"/>
    <w:rsid w:val="00A14484"/>
    <w:rsid w:val="00A175E6"/>
    <w:rsid w:val="00A207BE"/>
    <w:rsid w:val="00A218A2"/>
    <w:rsid w:val="00A2584F"/>
    <w:rsid w:val="00A270D7"/>
    <w:rsid w:val="00A30F9F"/>
    <w:rsid w:val="00A31B32"/>
    <w:rsid w:val="00A32B0C"/>
    <w:rsid w:val="00A33E5B"/>
    <w:rsid w:val="00A37A92"/>
    <w:rsid w:val="00A40F96"/>
    <w:rsid w:val="00A422BD"/>
    <w:rsid w:val="00A42650"/>
    <w:rsid w:val="00A446FC"/>
    <w:rsid w:val="00A46507"/>
    <w:rsid w:val="00A51924"/>
    <w:rsid w:val="00A5430C"/>
    <w:rsid w:val="00A55482"/>
    <w:rsid w:val="00A56057"/>
    <w:rsid w:val="00A57BD7"/>
    <w:rsid w:val="00A64909"/>
    <w:rsid w:val="00A64BCA"/>
    <w:rsid w:val="00A66495"/>
    <w:rsid w:val="00A67118"/>
    <w:rsid w:val="00A67496"/>
    <w:rsid w:val="00A73C55"/>
    <w:rsid w:val="00A81336"/>
    <w:rsid w:val="00A82166"/>
    <w:rsid w:val="00A82C2D"/>
    <w:rsid w:val="00A839E2"/>
    <w:rsid w:val="00A86742"/>
    <w:rsid w:val="00A9056C"/>
    <w:rsid w:val="00A91C4D"/>
    <w:rsid w:val="00A960D1"/>
    <w:rsid w:val="00AA1106"/>
    <w:rsid w:val="00AA12CA"/>
    <w:rsid w:val="00AA3B07"/>
    <w:rsid w:val="00AB1147"/>
    <w:rsid w:val="00AC101F"/>
    <w:rsid w:val="00AC31CE"/>
    <w:rsid w:val="00AC64EB"/>
    <w:rsid w:val="00AE0735"/>
    <w:rsid w:val="00AE2AA4"/>
    <w:rsid w:val="00AE7649"/>
    <w:rsid w:val="00B033B2"/>
    <w:rsid w:val="00B0742E"/>
    <w:rsid w:val="00B078FA"/>
    <w:rsid w:val="00B07CDF"/>
    <w:rsid w:val="00B13322"/>
    <w:rsid w:val="00B31D2D"/>
    <w:rsid w:val="00B40006"/>
    <w:rsid w:val="00B41B49"/>
    <w:rsid w:val="00B41B7F"/>
    <w:rsid w:val="00B470B6"/>
    <w:rsid w:val="00B4714B"/>
    <w:rsid w:val="00B52F38"/>
    <w:rsid w:val="00B546AC"/>
    <w:rsid w:val="00B579CF"/>
    <w:rsid w:val="00B60AA9"/>
    <w:rsid w:val="00B6380F"/>
    <w:rsid w:val="00B64061"/>
    <w:rsid w:val="00B676C6"/>
    <w:rsid w:val="00B7246D"/>
    <w:rsid w:val="00B76205"/>
    <w:rsid w:val="00B76A19"/>
    <w:rsid w:val="00B80103"/>
    <w:rsid w:val="00B80F99"/>
    <w:rsid w:val="00B841DB"/>
    <w:rsid w:val="00B86AA1"/>
    <w:rsid w:val="00B86C18"/>
    <w:rsid w:val="00B94AA4"/>
    <w:rsid w:val="00B94AF2"/>
    <w:rsid w:val="00B94C85"/>
    <w:rsid w:val="00B95CE5"/>
    <w:rsid w:val="00B964C6"/>
    <w:rsid w:val="00B976C0"/>
    <w:rsid w:val="00B978BA"/>
    <w:rsid w:val="00BA0E34"/>
    <w:rsid w:val="00BA250A"/>
    <w:rsid w:val="00BA50D9"/>
    <w:rsid w:val="00BA5396"/>
    <w:rsid w:val="00BB21A3"/>
    <w:rsid w:val="00BB2667"/>
    <w:rsid w:val="00BB3E52"/>
    <w:rsid w:val="00BB51FA"/>
    <w:rsid w:val="00BB67B1"/>
    <w:rsid w:val="00BB742A"/>
    <w:rsid w:val="00BB7ECB"/>
    <w:rsid w:val="00BC0957"/>
    <w:rsid w:val="00BC0A86"/>
    <w:rsid w:val="00BC1C46"/>
    <w:rsid w:val="00BD3A01"/>
    <w:rsid w:val="00BD776C"/>
    <w:rsid w:val="00BD7A30"/>
    <w:rsid w:val="00BE3084"/>
    <w:rsid w:val="00BE6258"/>
    <w:rsid w:val="00BE6843"/>
    <w:rsid w:val="00BF2155"/>
    <w:rsid w:val="00BF24A0"/>
    <w:rsid w:val="00BF4481"/>
    <w:rsid w:val="00BF5C3C"/>
    <w:rsid w:val="00BF6D7E"/>
    <w:rsid w:val="00C02EFB"/>
    <w:rsid w:val="00C05DCB"/>
    <w:rsid w:val="00C128F0"/>
    <w:rsid w:val="00C22E33"/>
    <w:rsid w:val="00C23F66"/>
    <w:rsid w:val="00C23F77"/>
    <w:rsid w:val="00C242BD"/>
    <w:rsid w:val="00C27580"/>
    <w:rsid w:val="00C27A44"/>
    <w:rsid w:val="00C4377A"/>
    <w:rsid w:val="00C45F6E"/>
    <w:rsid w:val="00C5257F"/>
    <w:rsid w:val="00C52787"/>
    <w:rsid w:val="00C53F40"/>
    <w:rsid w:val="00C57193"/>
    <w:rsid w:val="00C6056A"/>
    <w:rsid w:val="00C60F12"/>
    <w:rsid w:val="00C648C1"/>
    <w:rsid w:val="00C706F2"/>
    <w:rsid w:val="00C8079B"/>
    <w:rsid w:val="00C81BC2"/>
    <w:rsid w:val="00C84165"/>
    <w:rsid w:val="00C86A87"/>
    <w:rsid w:val="00C8759B"/>
    <w:rsid w:val="00C92301"/>
    <w:rsid w:val="00C92E0C"/>
    <w:rsid w:val="00C93A82"/>
    <w:rsid w:val="00C961FC"/>
    <w:rsid w:val="00C9637E"/>
    <w:rsid w:val="00CB156F"/>
    <w:rsid w:val="00CB4997"/>
    <w:rsid w:val="00CB5C4A"/>
    <w:rsid w:val="00CB7120"/>
    <w:rsid w:val="00CB742A"/>
    <w:rsid w:val="00CC4612"/>
    <w:rsid w:val="00CC56D1"/>
    <w:rsid w:val="00CC6901"/>
    <w:rsid w:val="00CD2CB2"/>
    <w:rsid w:val="00CD40F2"/>
    <w:rsid w:val="00CD5553"/>
    <w:rsid w:val="00CD5E04"/>
    <w:rsid w:val="00CE2227"/>
    <w:rsid w:val="00CE256E"/>
    <w:rsid w:val="00CE77AD"/>
    <w:rsid w:val="00CF32E6"/>
    <w:rsid w:val="00CF4023"/>
    <w:rsid w:val="00CF5119"/>
    <w:rsid w:val="00CF72ED"/>
    <w:rsid w:val="00D03551"/>
    <w:rsid w:val="00D04A7C"/>
    <w:rsid w:val="00D0656E"/>
    <w:rsid w:val="00D11320"/>
    <w:rsid w:val="00D13C8E"/>
    <w:rsid w:val="00D14C56"/>
    <w:rsid w:val="00D16772"/>
    <w:rsid w:val="00D2499A"/>
    <w:rsid w:val="00D25E99"/>
    <w:rsid w:val="00D26E61"/>
    <w:rsid w:val="00D31313"/>
    <w:rsid w:val="00D316B4"/>
    <w:rsid w:val="00D31CF6"/>
    <w:rsid w:val="00D32105"/>
    <w:rsid w:val="00D3283B"/>
    <w:rsid w:val="00D33ECE"/>
    <w:rsid w:val="00D408E7"/>
    <w:rsid w:val="00D42CD9"/>
    <w:rsid w:val="00D43287"/>
    <w:rsid w:val="00D44150"/>
    <w:rsid w:val="00D506FC"/>
    <w:rsid w:val="00D5355C"/>
    <w:rsid w:val="00D5716A"/>
    <w:rsid w:val="00D61634"/>
    <w:rsid w:val="00D62B6E"/>
    <w:rsid w:val="00D64446"/>
    <w:rsid w:val="00D66E4B"/>
    <w:rsid w:val="00D6733A"/>
    <w:rsid w:val="00D72480"/>
    <w:rsid w:val="00D72FD4"/>
    <w:rsid w:val="00D7302C"/>
    <w:rsid w:val="00D73618"/>
    <w:rsid w:val="00D75197"/>
    <w:rsid w:val="00D80C03"/>
    <w:rsid w:val="00D80F7C"/>
    <w:rsid w:val="00D82B17"/>
    <w:rsid w:val="00D84DCD"/>
    <w:rsid w:val="00D8650C"/>
    <w:rsid w:val="00D9195E"/>
    <w:rsid w:val="00D93008"/>
    <w:rsid w:val="00DA281E"/>
    <w:rsid w:val="00DA4C3C"/>
    <w:rsid w:val="00DA59E1"/>
    <w:rsid w:val="00DA66FB"/>
    <w:rsid w:val="00DB26AC"/>
    <w:rsid w:val="00DB68FB"/>
    <w:rsid w:val="00DB75CE"/>
    <w:rsid w:val="00DC0DAF"/>
    <w:rsid w:val="00DC1425"/>
    <w:rsid w:val="00DC5E05"/>
    <w:rsid w:val="00DC7578"/>
    <w:rsid w:val="00DD334C"/>
    <w:rsid w:val="00DE0332"/>
    <w:rsid w:val="00DE0F0B"/>
    <w:rsid w:val="00DE1091"/>
    <w:rsid w:val="00DE4224"/>
    <w:rsid w:val="00DE6233"/>
    <w:rsid w:val="00DF05C8"/>
    <w:rsid w:val="00DF0732"/>
    <w:rsid w:val="00DF0BC7"/>
    <w:rsid w:val="00DF0F61"/>
    <w:rsid w:val="00DF49E5"/>
    <w:rsid w:val="00E0682D"/>
    <w:rsid w:val="00E21C89"/>
    <w:rsid w:val="00E22570"/>
    <w:rsid w:val="00E23BEA"/>
    <w:rsid w:val="00E24EB7"/>
    <w:rsid w:val="00E31FD3"/>
    <w:rsid w:val="00E33120"/>
    <w:rsid w:val="00E375EA"/>
    <w:rsid w:val="00E40056"/>
    <w:rsid w:val="00E4143F"/>
    <w:rsid w:val="00E42239"/>
    <w:rsid w:val="00E44206"/>
    <w:rsid w:val="00E45DCB"/>
    <w:rsid w:val="00E50F23"/>
    <w:rsid w:val="00E60750"/>
    <w:rsid w:val="00E62F25"/>
    <w:rsid w:val="00E732DB"/>
    <w:rsid w:val="00E73C18"/>
    <w:rsid w:val="00E76B1C"/>
    <w:rsid w:val="00E809CE"/>
    <w:rsid w:val="00E82E02"/>
    <w:rsid w:val="00E83827"/>
    <w:rsid w:val="00E86F0D"/>
    <w:rsid w:val="00E8717E"/>
    <w:rsid w:val="00E87BCE"/>
    <w:rsid w:val="00E96F98"/>
    <w:rsid w:val="00E97DE3"/>
    <w:rsid w:val="00EA2F9A"/>
    <w:rsid w:val="00EA3026"/>
    <w:rsid w:val="00EA6F21"/>
    <w:rsid w:val="00EA7D44"/>
    <w:rsid w:val="00EB0CC5"/>
    <w:rsid w:val="00EB6096"/>
    <w:rsid w:val="00EC0C1B"/>
    <w:rsid w:val="00EC13C4"/>
    <w:rsid w:val="00EC2EBE"/>
    <w:rsid w:val="00EC4871"/>
    <w:rsid w:val="00ED3523"/>
    <w:rsid w:val="00ED7C65"/>
    <w:rsid w:val="00EE70F7"/>
    <w:rsid w:val="00EE75D6"/>
    <w:rsid w:val="00EE7E22"/>
    <w:rsid w:val="00EF42C7"/>
    <w:rsid w:val="00EF6356"/>
    <w:rsid w:val="00F140D8"/>
    <w:rsid w:val="00F14B2B"/>
    <w:rsid w:val="00F15FB6"/>
    <w:rsid w:val="00F170FF"/>
    <w:rsid w:val="00F20777"/>
    <w:rsid w:val="00F21534"/>
    <w:rsid w:val="00F21DD6"/>
    <w:rsid w:val="00F2280F"/>
    <w:rsid w:val="00F27487"/>
    <w:rsid w:val="00F275A8"/>
    <w:rsid w:val="00F30D0F"/>
    <w:rsid w:val="00F30D61"/>
    <w:rsid w:val="00F3124F"/>
    <w:rsid w:val="00F33B7A"/>
    <w:rsid w:val="00F35848"/>
    <w:rsid w:val="00F4152B"/>
    <w:rsid w:val="00F45D29"/>
    <w:rsid w:val="00F5071D"/>
    <w:rsid w:val="00F518D6"/>
    <w:rsid w:val="00F51990"/>
    <w:rsid w:val="00F52D87"/>
    <w:rsid w:val="00F530A6"/>
    <w:rsid w:val="00F56850"/>
    <w:rsid w:val="00F60550"/>
    <w:rsid w:val="00F64565"/>
    <w:rsid w:val="00F703FC"/>
    <w:rsid w:val="00F75495"/>
    <w:rsid w:val="00F76193"/>
    <w:rsid w:val="00F76797"/>
    <w:rsid w:val="00F80B7B"/>
    <w:rsid w:val="00F81368"/>
    <w:rsid w:val="00F865A0"/>
    <w:rsid w:val="00F91699"/>
    <w:rsid w:val="00F93403"/>
    <w:rsid w:val="00F96A57"/>
    <w:rsid w:val="00F97BFB"/>
    <w:rsid w:val="00FA3BB8"/>
    <w:rsid w:val="00FA3C99"/>
    <w:rsid w:val="00FA684F"/>
    <w:rsid w:val="00FC54B7"/>
    <w:rsid w:val="00FD4B52"/>
    <w:rsid w:val="00FE2A95"/>
    <w:rsid w:val="00FF2081"/>
    <w:rsid w:val="00FF3996"/>
    <w:rsid w:val="00FF4A07"/>
    <w:rsid w:val="00FF75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C814CC"/>
  <w15:docId w15:val="{8CA53D83-DABC-4814-BB9D-250873F84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56E"/>
    <w:rPr>
      <w:rFonts w:ascii="Times New Roman" w:hAnsi="Times New Roman" w:cs="Times New Roman"/>
    </w:rPr>
  </w:style>
  <w:style w:type="paragraph" w:styleId="Heading2">
    <w:name w:val="heading 2"/>
    <w:basedOn w:val="Normal"/>
    <w:next w:val="Normal"/>
    <w:link w:val="Heading2Char"/>
    <w:uiPriority w:val="9"/>
    <w:qFormat/>
    <w:rsid w:val="00D62B6E"/>
    <w:pPr>
      <w:keepNext/>
      <w:keepLines/>
      <w:autoSpaceDE w:val="0"/>
      <w:autoSpaceDN w:val="0"/>
      <w:adjustRightInd w:val="0"/>
      <w:spacing w:line="360" w:lineRule="auto"/>
      <w:jc w:val="both"/>
      <w:outlineLvl w:val="1"/>
    </w:pPr>
    <w:rPr>
      <w:rFonts w:eastAsia="Times New Roman"/>
      <w:b/>
      <w:spacing w:val="5"/>
      <w:kern w:val="1"/>
      <w:sz w:val="20"/>
      <w:szCs w:val="20"/>
      <w:lang w:val="en-GB"/>
    </w:rPr>
  </w:style>
  <w:style w:type="paragraph" w:styleId="Heading3">
    <w:name w:val="heading 3"/>
    <w:basedOn w:val="Normal"/>
    <w:next w:val="Normal"/>
    <w:link w:val="Heading3Char"/>
    <w:uiPriority w:val="9"/>
    <w:semiHidden/>
    <w:unhideWhenUsed/>
    <w:qFormat/>
    <w:rsid w:val="00D62B6E"/>
    <w:pPr>
      <w:keepNext/>
      <w:keepLines/>
      <w:spacing w:before="40"/>
      <w:outlineLvl w:val="2"/>
    </w:pPr>
    <w:rPr>
      <w:rFonts w:asciiTheme="majorHAnsi" w:eastAsiaTheme="majorEastAsia" w:hAnsiTheme="majorHAnsi" w:cstheme="majorBidi"/>
      <w:color w:val="1F3763" w:themeColor="accent1" w:themeShade="7F"/>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qFormat/>
    <w:rsid w:val="001315E0"/>
    <w:pPr>
      <w:widowControl w:val="0"/>
      <w:autoSpaceDE w:val="0"/>
      <w:autoSpaceDN w:val="0"/>
      <w:adjustRightInd w:val="0"/>
      <w:spacing w:after="200" w:line="360" w:lineRule="auto"/>
      <w:jc w:val="center"/>
    </w:pPr>
    <w:rPr>
      <w:rFonts w:eastAsia="Times New Roman"/>
      <w:spacing w:val="5"/>
      <w:kern w:val="1"/>
      <w:sz w:val="20"/>
      <w:szCs w:val="20"/>
      <w:lang w:val="en-GB" w:eastAsia="ja-JP"/>
    </w:rPr>
  </w:style>
  <w:style w:type="character" w:customStyle="1" w:styleId="SubtitleChar">
    <w:name w:val="Subtitle Char"/>
    <w:basedOn w:val="DefaultParagraphFont"/>
    <w:link w:val="Subtitle"/>
    <w:uiPriority w:val="99"/>
    <w:rsid w:val="001315E0"/>
    <w:rPr>
      <w:rFonts w:ascii="Times New Roman" w:eastAsia="Times New Roman" w:hAnsi="Times New Roman" w:cs="Times New Roman"/>
      <w:spacing w:val="5"/>
      <w:kern w:val="1"/>
      <w:sz w:val="20"/>
      <w:szCs w:val="20"/>
      <w:lang w:val="en-GB" w:eastAsia="ja-JP"/>
    </w:rPr>
  </w:style>
  <w:style w:type="character" w:customStyle="1" w:styleId="Species">
    <w:name w:val="Species"/>
    <w:uiPriority w:val="1"/>
    <w:qFormat/>
    <w:rsid w:val="00210D57"/>
    <w:rPr>
      <w:i/>
      <w:iCs/>
    </w:rPr>
  </w:style>
  <w:style w:type="character" w:customStyle="1" w:styleId="Heading2Char">
    <w:name w:val="Heading 2 Char"/>
    <w:basedOn w:val="DefaultParagraphFont"/>
    <w:link w:val="Heading2"/>
    <w:uiPriority w:val="9"/>
    <w:rsid w:val="00D62B6E"/>
    <w:rPr>
      <w:rFonts w:ascii="Times New Roman" w:eastAsia="Times New Roman" w:hAnsi="Times New Roman" w:cs="Times New Roman"/>
      <w:b/>
      <w:spacing w:val="5"/>
      <w:kern w:val="1"/>
      <w:sz w:val="20"/>
      <w:szCs w:val="20"/>
      <w:lang w:val="en-GB"/>
    </w:rPr>
  </w:style>
  <w:style w:type="character" w:styleId="CommentReference">
    <w:name w:val="annotation reference"/>
    <w:uiPriority w:val="99"/>
    <w:unhideWhenUsed/>
    <w:rsid w:val="00D62B6E"/>
    <w:rPr>
      <w:sz w:val="18"/>
      <w:szCs w:val="18"/>
    </w:rPr>
  </w:style>
  <w:style w:type="paragraph" w:styleId="CommentText">
    <w:name w:val="annotation text"/>
    <w:basedOn w:val="Normal"/>
    <w:link w:val="CommentTextChar"/>
    <w:uiPriority w:val="99"/>
    <w:unhideWhenUsed/>
    <w:rsid w:val="00D62B6E"/>
    <w:pPr>
      <w:widowControl w:val="0"/>
      <w:autoSpaceDE w:val="0"/>
      <w:autoSpaceDN w:val="0"/>
      <w:adjustRightInd w:val="0"/>
      <w:spacing w:after="200" w:line="360" w:lineRule="auto"/>
      <w:jc w:val="both"/>
    </w:pPr>
    <w:rPr>
      <w:rFonts w:eastAsia="Times New Roman"/>
      <w:spacing w:val="5"/>
      <w:kern w:val="1"/>
    </w:rPr>
  </w:style>
  <w:style w:type="character" w:customStyle="1" w:styleId="CommentTextChar">
    <w:name w:val="Comment Text Char"/>
    <w:basedOn w:val="DefaultParagraphFont"/>
    <w:link w:val="CommentText"/>
    <w:uiPriority w:val="99"/>
    <w:rsid w:val="00D62B6E"/>
    <w:rPr>
      <w:rFonts w:ascii="Times New Roman" w:eastAsia="Times New Roman" w:hAnsi="Times New Roman" w:cs="Times New Roman"/>
      <w:spacing w:val="5"/>
      <w:kern w:val="1"/>
    </w:rPr>
  </w:style>
  <w:style w:type="paragraph" w:styleId="BodyText">
    <w:name w:val="Body Text"/>
    <w:basedOn w:val="Normal"/>
    <w:link w:val="BodyTextChar"/>
    <w:rsid w:val="00D62B6E"/>
    <w:pPr>
      <w:widowControl w:val="0"/>
      <w:autoSpaceDE w:val="0"/>
      <w:autoSpaceDN w:val="0"/>
      <w:adjustRightInd w:val="0"/>
      <w:spacing w:after="120" w:line="360" w:lineRule="auto"/>
      <w:jc w:val="both"/>
    </w:pPr>
    <w:rPr>
      <w:rFonts w:eastAsia="Times New Roman"/>
      <w:spacing w:val="5"/>
      <w:kern w:val="1"/>
      <w:lang w:val="en-GB"/>
    </w:rPr>
  </w:style>
  <w:style w:type="character" w:customStyle="1" w:styleId="BodyTextChar">
    <w:name w:val="Body Text Char"/>
    <w:basedOn w:val="DefaultParagraphFont"/>
    <w:link w:val="BodyText"/>
    <w:rsid w:val="00D62B6E"/>
    <w:rPr>
      <w:rFonts w:ascii="Times New Roman" w:eastAsia="Times New Roman" w:hAnsi="Times New Roman" w:cs="Times New Roman"/>
      <w:spacing w:val="5"/>
      <w:kern w:val="1"/>
      <w:lang w:val="en-GB"/>
    </w:rPr>
  </w:style>
  <w:style w:type="paragraph" w:styleId="BalloonText">
    <w:name w:val="Balloon Text"/>
    <w:basedOn w:val="Normal"/>
    <w:link w:val="BalloonTextChar"/>
    <w:uiPriority w:val="99"/>
    <w:semiHidden/>
    <w:unhideWhenUsed/>
    <w:rsid w:val="00D62B6E"/>
    <w:rPr>
      <w:sz w:val="18"/>
      <w:szCs w:val="18"/>
    </w:rPr>
  </w:style>
  <w:style w:type="character" w:customStyle="1" w:styleId="BalloonTextChar">
    <w:name w:val="Balloon Text Char"/>
    <w:basedOn w:val="DefaultParagraphFont"/>
    <w:link w:val="BalloonText"/>
    <w:uiPriority w:val="99"/>
    <w:semiHidden/>
    <w:rsid w:val="00D62B6E"/>
    <w:rPr>
      <w:rFonts w:ascii="Times New Roman" w:eastAsia="MS Mincho" w:hAnsi="Times New Roman" w:cs="Times New Roman"/>
      <w:sz w:val="18"/>
      <w:szCs w:val="18"/>
      <w:lang w:val="en-GB" w:eastAsia="ja-JP"/>
    </w:rPr>
  </w:style>
  <w:style w:type="paragraph" w:styleId="Header">
    <w:name w:val="header"/>
    <w:basedOn w:val="Normal"/>
    <w:link w:val="HeaderChar"/>
    <w:uiPriority w:val="99"/>
    <w:unhideWhenUsed/>
    <w:rsid w:val="00D62B6E"/>
    <w:pPr>
      <w:tabs>
        <w:tab w:val="center" w:pos="4513"/>
        <w:tab w:val="right" w:pos="9026"/>
      </w:tabs>
    </w:pPr>
    <w:rPr>
      <w:rFonts w:eastAsia="MS Mincho"/>
      <w:lang w:val="en-GB" w:eastAsia="ja-JP"/>
    </w:rPr>
  </w:style>
  <w:style w:type="character" w:customStyle="1" w:styleId="HeaderChar">
    <w:name w:val="Header Char"/>
    <w:basedOn w:val="DefaultParagraphFont"/>
    <w:link w:val="Header"/>
    <w:uiPriority w:val="99"/>
    <w:rsid w:val="00D62B6E"/>
    <w:rPr>
      <w:rFonts w:ascii="Times New Roman" w:eastAsia="MS Mincho" w:hAnsi="Times New Roman" w:cs="Times New Roman"/>
      <w:lang w:val="en-GB" w:eastAsia="ja-JP"/>
    </w:rPr>
  </w:style>
  <w:style w:type="paragraph" w:styleId="Footer">
    <w:name w:val="footer"/>
    <w:basedOn w:val="Normal"/>
    <w:link w:val="FooterChar"/>
    <w:uiPriority w:val="99"/>
    <w:unhideWhenUsed/>
    <w:rsid w:val="00D62B6E"/>
    <w:pPr>
      <w:tabs>
        <w:tab w:val="center" w:pos="4513"/>
        <w:tab w:val="right" w:pos="9026"/>
      </w:tabs>
    </w:pPr>
    <w:rPr>
      <w:rFonts w:eastAsia="MS Mincho"/>
      <w:lang w:val="en-GB" w:eastAsia="ja-JP"/>
    </w:rPr>
  </w:style>
  <w:style w:type="character" w:customStyle="1" w:styleId="FooterChar">
    <w:name w:val="Footer Char"/>
    <w:basedOn w:val="DefaultParagraphFont"/>
    <w:link w:val="Footer"/>
    <w:uiPriority w:val="99"/>
    <w:rsid w:val="00D62B6E"/>
    <w:rPr>
      <w:rFonts w:ascii="Times New Roman" w:eastAsia="MS Mincho" w:hAnsi="Times New Roman" w:cs="Times New Roman"/>
      <w:lang w:val="en-GB" w:eastAsia="ja-JP"/>
    </w:rPr>
  </w:style>
  <w:style w:type="character" w:customStyle="1" w:styleId="Heading3Char">
    <w:name w:val="Heading 3 Char"/>
    <w:basedOn w:val="DefaultParagraphFont"/>
    <w:link w:val="Heading3"/>
    <w:uiPriority w:val="9"/>
    <w:semiHidden/>
    <w:rsid w:val="00D62B6E"/>
    <w:rPr>
      <w:rFonts w:asciiTheme="majorHAnsi" w:eastAsiaTheme="majorEastAsia" w:hAnsiTheme="majorHAnsi" w:cstheme="majorBidi"/>
      <w:color w:val="1F3763" w:themeColor="accent1" w:themeShade="7F"/>
      <w:lang w:val="en-GB" w:eastAsia="ja-JP"/>
    </w:rPr>
  </w:style>
  <w:style w:type="character" w:styleId="PlaceholderText">
    <w:name w:val="Placeholder Text"/>
    <w:basedOn w:val="DefaultParagraphFont"/>
    <w:uiPriority w:val="99"/>
    <w:semiHidden/>
    <w:rsid w:val="00527E6F"/>
    <w:rPr>
      <w:color w:val="808080"/>
    </w:rPr>
  </w:style>
  <w:style w:type="character" w:styleId="Hyperlink">
    <w:name w:val="Hyperlink"/>
    <w:basedOn w:val="DefaultParagraphFont"/>
    <w:uiPriority w:val="99"/>
    <w:unhideWhenUsed/>
    <w:rsid w:val="00CE256E"/>
    <w:rPr>
      <w:color w:val="0000FF"/>
      <w:u w:val="single"/>
    </w:rPr>
  </w:style>
  <w:style w:type="character" w:styleId="FollowedHyperlink">
    <w:name w:val="FollowedHyperlink"/>
    <w:basedOn w:val="DefaultParagraphFont"/>
    <w:uiPriority w:val="99"/>
    <w:semiHidden/>
    <w:unhideWhenUsed/>
    <w:rsid w:val="00CE256E"/>
    <w:rPr>
      <w:color w:val="954F72" w:themeColor="followedHyperlink"/>
      <w:u w:val="single"/>
    </w:rPr>
  </w:style>
  <w:style w:type="table" w:styleId="TableGrid">
    <w:name w:val="Table Grid"/>
    <w:basedOn w:val="TableNormal"/>
    <w:uiPriority w:val="59"/>
    <w:rsid w:val="0029408A"/>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83549"/>
  </w:style>
  <w:style w:type="character" w:styleId="LineNumber">
    <w:name w:val="line number"/>
    <w:basedOn w:val="DefaultParagraphFont"/>
    <w:uiPriority w:val="99"/>
    <w:semiHidden/>
    <w:unhideWhenUsed/>
    <w:rsid w:val="00983549"/>
  </w:style>
  <w:style w:type="paragraph" w:styleId="CommentSubject">
    <w:name w:val="annotation subject"/>
    <w:basedOn w:val="CommentText"/>
    <w:next w:val="CommentText"/>
    <w:link w:val="CommentSubjectChar"/>
    <w:uiPriority w:val="99"/>
    <w:semiHidden/>
    <w:unhideWhenUsed/>
    <w:rsid w:val="00197621"/>
    <w:pPr>
      <w:widowControl/>
      <w:autoSpaceDE/>
      <w:autoSpaceDN/>
      <w:adjustRightInd/>
      <w:spacing w:after="0" w:line="240" w:lineRule="auto"/>
      <w:jc w:val="left"/>
    </w:pPr>
    <w:rPr>
      <w:rFonts w:eastAsiaTheme="minorHAnsi"/>
      <w:b/>
      <w:bCs/>
      <w:spacing w:val="0"/>
      <w:kern w:val="0"/>
      <w:sz w:val="20"/>
      <w:szCs w:val="20"/>
    </w:rPr>
  </w:style>
  <w:style w:type="character" w:customStyle="1" w:styleId="CommentSubjectChar">
    <w:name w:val="Comment Subject Char"/>
    <w:basedOn w:val="CommentTextChar"/>
    <w:link w:val="CommentSubject"/>
    <w:uiPriority w:val="99"/>
    <w:semiHidden/>
    <w:rsid w:val="00197621"/>
    <w:rPr>
      <w:rFonts w:ascii="Times New Roman" w:eastAsia="Times New Roman" w:hAnsi="Times New Roman" w:cs="Times New Roman"/>
      <w:b/>
      <w:bCs/>
      <w:spacing w:val="5"/>
      <w:kern w:val="1"/>
      <w:sz w:val="20"/>
      <w:szCs w:val="20"/>
    </w:rPr>
  </w:style>
  <w:style w:type="paragraph" w:styleId="ListParagraph">
    <w:name w:val="List Paragraph"/>
    <w:basedOn w:val="Normal"/>
    <w:uiPriority w:val="34"/>
    <w:qFormat/>
    <w:rsid w:val="00F21534"/>
    <w:pPr>
      <w:ind w:left="720"/>
      <w:contextualSpacing/>
    </w:pPr>
    <w:rPr>
      <w:rFonts w:asciiTheme="minorHAnsi" w:hAnsiTheme="minorHAnsi" w:cstheme="minorBidi"/>
    </w:rPr>
  </w:style>
  <w:style w:type="paragraph" w:styleId="NormalWeb">
    <w:name w:val="Normal (Web)"/>
    <w:basedOn w:val="Normal"/>
    <w:uiPriority w:val="99"/>
    <w:semiHidden/>
    <w:unhideWhenUsed/>
    <w:rsid w:val="008470CE"/>
    <w:pPr>
      <w:spacing w:before="100" w:beforeAutospacing="1" w:after="100" w:afterAutospacing="1"/>
    </w:pPr>
  </w:style>
  <w:style w:type="character" w:customStyle="1" w:styleId="apple-converted-space">
    <w:name w:val="apple-converted-space"/>
    <w:basedOn w:val="DefaultParagraphFont"/>
    <w:rsid w:val="008470CE"/>
  </w:style>
  <w:style w:type="character" w:styleId="HTMLCite">
    <w:name w:val="HTML Cite"/>
    <w:basedOn w:val="DefaultParagraphFont"/>
    <w:uiPriority w:val="99"/>
    <w:semiHidden/>
    <w:unhideWhenUsed/>
    <w:rsid w:val="004F4FA3"/>
    <w:rPr>
      <w:i/>
      <w:iCs/>
    </w:rPr>
  </w:style>
  <w:style w:type="character" w:customStyle="1" w:styleId="plainlinks">
    <w:name w:val="plainlinks"/>
    <w:basedOn w:val="DefaultParagraphFont"/>
    <w:rsid w:val="004F4FA3"/>
  </w:style>
  <w:style w:type="paragraph" w:styleId="Revision">
    <w:name w:val="Revision"/>
    <w:hidden/>
    <w:uiPriority w:val="99"/>
    <w:semiHidden/>
    <w:rsid w:val="00ED7C65"/>
    <w:rPr>
      <w:rFonts w:ascii="Times New Roman" w:hAnsi="Times New Roman" w:cs="Times New Roman"/>
    </w:rPr>
  </w:style>
  <w:style w:type="paragraph" w:styleId="HTMLPreformatted">
    <w:name w:val="HTML Preformatted"/>
    <w:basedOn w:val="Normal"/>
    <w:link w:val="HTMLPreformattedChar"/>
    <w:uiPriority w:val="99"/>
    <w:semiHidden/>
    <w:unhideWhenUsed/>
    <w:rsid w:val="00ED7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PreformattedChar">
    <w:name w:val="HTML Preformatted Char"/>
    <w:basedOn w:val="DefaultParagraphFont"/>
    <w:link w:val="HTMLPreformatted"/>
    <w:uiPriority w:val="99"/>
    <w:semiHidden/>
    <w:rsid w:val="00ED7C65"/>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11012">
      <w:bodyDiv w:val="1"/>
      <w:marLeft w:val="0"/>
      <w:marRight w:val="0"/>
      <w:marTop w:val="0"/>
      <w:marBottom w:val="0"/>
      <w:divBdr>
        <w:top w:val="none" w:sz="0" w:space="0" w:color="auto"/>
        <w:left w:val="none" w:sz="0" w:space="0" w:color="auto"/>
        <w:bottom w:val="none" w:sz="0" w:space="0" w:color="auto"/>
        <w:right w:val="none" w:sz="0" w:space="0" w:color="auto"/>
      </w:divBdr>
    </w:div>
    <w:div w:id="367879750">
      <w:bodyDiv w:val="1"/>
      <w:marLeft w:val="0"/>
      <w:marRight w:val="0"/>
      <w:marTop w:val="0"/>
      <w:marBottom w:val="0"/>
      <w:divBdr>
        <w:top w:val="none" w:sz="0" w:space="0" w:color="auto"/>
        <w:left w:val="none" w:sz="0" w:space="0" w:color="auto"/>
        <w:bottom w:val="none" w:sz="0" w:space="0" w:color="auto"/>
        <w:right w:val="none" w:sz="0" w:space="0" w:color="auto"/>
      </w:divBdr>
    </w:div>
    <w:div w:id="734667275">
      <w:bodyDiv w:val="1"/>
      <w:marLeft w:val="0"/>
      <w:marRight w:val="0"/>
      <w:marTop w:val="0"/>
      <w:marBottom w:val="0"/>
      <w:divBdr>
        <w:top w:val="none" w:sz="0" w:space="0" w:color="auto"/>
        <w:left w:val="none" w:sz="0" w:space="0" w:color="auto"/>
        <w:bottom w:val="none" w:sz="0" w:space="0" w:color="auto"/>
        <w:right w:val="none" w:sz="0" w:space="0" w:color="auto"/>
      </w:divBdr>
    </w:div>
    <w:div w:id="905921236">
      <w:bodyDiv w:val="1"/>
      <w:marLeft w:val="0"/>
      <w:marRight w:val="0"/>
      <w:marTop w:val="0"/>
      <w:marBottom w:val="0"/>
      <w:divBdr>
        <w:top w:val="none" w:sz="0" w:space="0" w:color="auto"/>
        <w:left w:val="none" w:sz="0" w:space="0" w:color="auto"/>
        <w:bottom w:val="none" w:sz="0" w:space="0" w:color="auto"/>
        <w:right w:val="none" w:sz="0" w:space="0" w:color="auto"/>
      </w:divBdr>
    </w:div>
    <w:div w:id="931816867">
      <w:bodyDiv w:val="1"/>
      <w:marLeft w:val="0"/>
      <w:marRight w:val="0"/>
      <w:marTop w:val="0"/>
      <w:marBottom w:val="0"/>
      <w:divBdr>
        <w:top w:val="none" w:sz="0" w:space="0" w:color="auto"/>
        <w:left w:val="none" w:sz="0" w:space="0" w:color="auto"/>
        <w:bottom w:val="none" w:sz="0" w:space="0" w:color="auto"/>
        <w:right w:val="none" w:sz="0" w:space="0" w:color="auto"/>
      </w:divBdr>
    </w:div>
    <w:div w:id="1225220678">
      <w:bodyDiv w:val="1"/>
      <w:marLeft w:val="0"/>
      <w:marRight w:val="0"/>
      <w:marTop w:val="0"/>
      <w:marBottom w:val="0"/>
      <w:divBdr>
        <w:top w:val="none" w:sz="0" w:space="0" w:color="auto"/>
        <w:left w:val="none" w:sz="0" w:space="0" w:color="auto"/>
        <w:bottom w:val="none" w:sz="0" w:space="0" w:color="auto"/>
        <w:right w:val="none" w:sz="0" w:space="0" w:color="auto"/>
      </w:divBdr>
    </w:div>
    <w:div w:id="1650744621">
      <w:bodyDiv w:val="1"/>
      <w:marLeft w:val="0"/>
      <w:marRight w:val="0"/>
      <w:marTop w:val="0"/>
      <w:marBottom w:val="0"/>
      <w:divBdr>
        <w:top w:val="none" w:sz="0" w:space="0" w:color="auto"/>
        <w:left w:val="none" w:sz="0" w:space="0" w:color="auto"/>
        <w:bottom w:val="none" w:sz="0" w:space="0" w:color="auto"/>
        <w:right w:val="none" w:sz="0" w:space="0" w:color="auto"/>
      </w:divBdr>
    </w:div>
    <w:div w:id="1900826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0F55BC-141C-524B-8D25-6F4A9EC1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22</Pages>
  <Words>33528</Words>
  <Characters>191113</Characters>
  <Application>Microsoft Office Word</Application>
  <DocSecurity>0</DocSecurity>
  <Lines>1592</Lines>
  <Paragraphs>448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Edinburgh</Company>
  <LinksUpToDate>false</LinksUpToDate>
  <CharactersWithSpaces>224193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PALAIOKOSTAS Christos</dc:creator>
  <cp:lastModifiedBy>Microsoft Office User</cp:lastModifiedBy>
  <cp:revision>7</cp:revision>
  <dcterms:created xsi:type="dcterms:W3CDTF">2018-05-18T01:02:00Z</dcterms:created>
  <dcterms:modified xsi:type="dcterms:W3CDTF">2018-05-18T01:43:00Z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518c5dcb-6af5-359c-a485-f0ed49b94dbf</vt:lpwstr>
  </property>
  <property fmtid="{D5CDD505-2E9C-101B-9397-08002B2CF9AE}" pid="4" name="Mendeley Citation Style_1">
    <vt:lpwstr>http://www.zotero.org/styles/g3</vt:lpwstr>
  </property>
  <property fmtid="{D5CDD505-2E9C-101B-9397-08002B2CF9AE}" pid="5" name="Mendeley Recent Style Id 0_1">
    <vt:lpwstr>http://www.zotero.org/styles/chicago-fullnote-bibliography</vt:lpwstr>
  </property>
  <property fmtid="{D5CDD505-2E9C-101B-9397-08002B2CF9AE}" pid="6" name="Mendeley Recent Style Name 0_1">
    <vt:lpwstr>Chicago Manual of Style 16th edition (full note)</vt:lpwstr>
  </property>
  <property fmtid="{D5CDD505-2E9C-101B-9397-08002B2CF9AE}" pid="7" name="Mendeley Recent Style Id 1_1">
    <vt:lpwstr>http://www.zotero.org/styles/frontiers-in-genetics</vt:lpwstr>
  </property>
  <property fmtid="{D5CDD505-2E9C-101B-9397-08002B2CF9AE}" pid="8" name="Mendeley Recent Style Name 1_1">
    <vt:lpwstr>Frontiers in Genetics</vt:lpwstr>
  </property>
  <property fmtid="{D5CDD505-2E9C-101B-9397-08002B2CF9AE}" pid="9" name="Mendeley Recent Style Id 2_1">
    <vt:lpwstr>http://www.zotero.org/styles/g3</vt:lpwstr>
  </property>
  <property fmtid="{D5CDD505-2E9C-101B-9397-08002B2CF9AE}" pid="10" name="Mendeley Recent Style Name 2_1">
    <vt:lpwstr>G3: Genes, Genomes, Genetics</vt:lpwstr>
  </property>
  <property fmtid="{D5CDD505-2E9C-101B-9397-08002B2CF9AE}" pid="11" name="Mendeley Recent Style Id 3_1">
    <vt:lpwstr>http://www.zotero.org/styles/genetics</vt:lpwstr>
  </property>
  <property fmtid="{D5CDD505-2E9C-101B-9397-08002B2CF9AE}" pid="12" name="Mendeley Recent Style Name 3_1">
    <vt:lpwstr>Genetics</vt:lpwstr>
  </property>
  <property fmtid="{D5CDD505-2E9C-101B-9397-08002B2CF9AE}" pid="13" name="Mendeley Recent Style Id 4_1">
    <vt:lpwstr>http://www.zotero.org/styles/genetics-selection-evolution</vt:lpwstr>
  </property>
  <property fmtid="{D5CDD505-2E9C-101B-9397-08002B2CF9AE}" pid="14" name="Mendeley Recent Style Name 4_1">
    <vt:lpwstr>Genetics Selection Evolution</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