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150F7" w14:textId="7CECF53C" w:rsidR="007C6CBD" w:rsidRDefault="007C6CBD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Supplemental Table S2. </w:t>
      </w:r>
      <w:r>
        <w:rPr>
          <w:rFonts w:ascii="Arial" w:hAnsi="Arial" w:cs="Arial"/>
        </w:rPr>
        <w:t xml:space="preserve">Number of </w:t>
      </w:r>
      <w:r w:rsidR="00C340A8">
        <w:rPr>
          <w:rFonts w:ascii="Arial" w:hAnsi="Arial" w:cs="Arial"/>
        </w:rPr>
        <w:t>significant</w:t>
      </w:r>
      <w:r w:rsidR="00C340A8" w:rsidRPr="00C340A8">
        <w:rPr>
          <w:rFonts w:ascii="Arial" w:hAnsi="Arial" w:cs="Arial"/>
          <w:vertAlign w:val="superscript"/>
        </w:rPr>
        <w:t>1</w:t>
      </w:r>
      <w:r w:rsidR="00C340A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differentially expressed genes </w:t>
      </w:r>
      <w:r w:rsidR="00F52083">
        <w:rPr>
          <w:rFonts w:ascii="Arial" w:hAnsi="Arial" w:cs="Arial"/>
        </w:rPr>
        <w:t>fo</w:t>
      </w:r>
      <w:r w:rsidR="00F60213">
        <w:rPr>
          <w:rFonts w:ascii="Arial" w:hAnsi="Arial" w:cs="Arial"/>
        </w:rPr>
        <w:t xml:space="preserve">r each </w:t>
      </w:r>
      <w:proofErr w:type="spellStart"/>
      <w:r w:rsidR="00F60213">
        <w:rPr>
          <w:rFonts w:ascii="Arial" w:hAnsi="Arial" w:cs="Arial"/>
        </w:rPr>
        <w:t>bacteriocyte</w:t>
      </w:r>
      <w:proofErr w:type="spellEnd"/>
      <w:r w:rsidR="00F60213">
        <w:rPr>
          <w:rFonts w:ascii="Arial" w:hAnsi="Arial" w:cs="Arial"/>
        </w:rPr>
        <w:t xml:space="preserve"> comparison.</w:t>
      </w:r>
    </w:p>
    <w:p w14:paraId="660C1701" w14:textId="77777777" w:rsidR="007C6CBD" w:rsidRPr="007C6CBD" w:rsidRDefault="007C6CBD">
      <w:pPr>
        <w:rPr>
          <w:rFonts w:ascii="Arial" w:hAnsi="Arial" w:cs="Arial"/>
        </w:rPr>
      </w:pPr>
    </w:p>
    <w:tbl>
      <w:tblPr>
        <w:tblStyle w:val="TableGrid"/>
        <w:tblW w:w="5755" w:type="dxa"/>
        <w:jc w:val="center"/>
        <w:tblLook w:val="04A0" w:firstRow="1" w:lastRow="0" w:firstColumn="1" w:lastColumn="0" w:noHBand="0" w:noVBand="1"/>
      </w:tblPr>
      <w:tblGrid>
        <w:gridCol w:w="1885"/>
        <w:gridCol w:w="1925"/>
        <w:gridCol w:w="1945"/>
      </w:tblGrid>
      <w:tr w:rsidR="00992C7D" w:rsidRPr="007C6CBD" w14:paraId="658D785C" w14:textId="77777777" w:rsidTr="00F60213">
        <w:trPr>
          <w:trHeight w:val="506"/>
          <w:jc w:val="center"/>
        </w:trPr>
        <w:tc>
          <w:tcPr>
            <w:tcW w:w="1885" w:type="dxa"/>
            <w:tcBorders>
              <w:bottom w:val="thinThickSmallGap" w:sz="24" w:space="0" w:color="auto"/>
            </w:tcBorders>
            <w:vAlign w:val="center"/>
          </w:tcPr>
          <w:p w14:paraId="78DB6431" w14:textId="77777777" w:rsidR="00992C7D" w:rsidRPr="00E34491" w:rsidRDefault="00992C7D" w:rsidP="00A545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thinThickSmallGap" w:sz="24" w:space="0" w:color="auto"/>
            </w:tcBorders>
            <w:vAlign w:val="center"/>
          </w:tcPr>
          <w:p w14:paraId="6D322FBB" w14:textId="09A505A1" w:rsidR="00992C7D" w:rsidRPr="00E34491" w:rsidRDefault="00992C7D" w:rsidP="00B315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ABAC vs. FBAC</w:t>
            </w:r>
          </w:p>
        </w:tc>
        <w:tc>
          <w:tcPr>
            <w:tcW w:w="1945" w:type="dxa"/>
            <w:tcBorders>
              <w:bottom w:val="thinThickSmallGap" w:sz="24" w:space="0" w:color="auto"/>
            </w:tcBorders>
            <w:vAlign w:val="center"/>
          </w:tcPr>
          <w:p w14:paraId="28F7C625" w14:textId="024C86F4" w:rsidR="00992C7D" w:rsidRPr="00E34491" w:rsidRDefault="00992C7D" w:rsidP="00A545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BAC vs. BODY</w:t>
            </w:r>
          </w:p>
        </w:tc>
      </w:tr>
      <w:tr w:rsidR="00992C7D" w:rsidRPr="007C6CBD" w14:paraId="39D6DFAB" w14:textId="77777777" w:rsidTr="00F60213">
        <w:trPr>
          <w:trHeight w:val="506"/>
          <w:jc w:val="center"/>
        </w:trPr>
        <w:tc>
          <w:tcPr>
            <w:tcW w:w="1885" w:type="dxa"/>
            <w:tcBorders>
              <w:top w:val="thinThickSmallGap" w:sz="24" w:space="0" w:color="auto"/>
            </w:tcBorders>
            <w:vAlign w:val="center"/>
          </w:tcPr>
          <w:p w14:paraId="7F4F5110" w14:textId="425DD1F1" w:rsidR="00992C7D" w:rsidRPr="00E34491" w:rsidRDefault="00992C7D" w:rsidP="00A545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4491">
              <w:rPr>
                <w:rFonts w:ascii="Arial" w:hAnsi="Arial" w:cs="Arial"/>
                <w:b/>
                <w:sz w:val="18"/>
                <w:szCs w:val="18"/>
              </w:rPr>
              <w:t>Up-regulated</w:t>
            </w:r>
          </w:p>
        </w:tc>
        <w:tc>
          <w:tcPr>
            <w:tcW w:w="1925" w:type="dxa"/>
            <w:tcBorders>
              <w:top w:val="thinThickSmallGap" w:sz="24" w:space="0" w:color="auto"/>
            </w:tcBorders>
            <w:vAlign w:val="center"/>
          </w:tcPr>
          <w:p w14:paraId="29D1E9BD" w14:textId="1A8DBB06" w:rsidR="00992C7D" w:rsidRPr="00E34491" w:rsidRDefault="00B742A5" w:rsidP="00A545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1945" w:type="dxa"/>
            <w:tcBorders>
              <w:top w:val="thinThickSmallGap" w:sz="24" w:space="0" w:color="auto"/>
            </w:tcBorders>
            <w:vAlign w:val="center"/>
          </w:tcPr>
          <w:p w14:paraId="7904B64C" w14:textId="11FB4E85" w:rsidR="00992C7D" w:rsidRPr="00E34491" w:rsidRDefault="00992C7D" w:rsidP="00A545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1,904</w:t>
            </w:r>
          </w:p>
        </w:tc>
      </w:tr>
      <w:tr w:rsidR="00992C7D" w:rsidRPr="007C6CBD" w14:paraId="641B7753" w14:textId="77777777" w:rsidTr="00F60213">
        <w:trPr>
          <w:trHeight w:val="506"/>
          <w:jc w:val="center"/>
        </w:trPr>
        <w:tc>
          <w:tcPr>
            <w:tcW w:w="1885" w:type="dxa"/>
            <w:vAlign w:val="center"/>
          </w:tcPr>
          <w:p w14:paraId="034F6417" w14:textId="244BF314" w:rsidR="00992C7D" w:rsidRPr="00E34491" w:rsidRDefault="00992C7D" w:rsidP="00A545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4491">
              <w:rPr>
                <w:rFonts w:ascii="Arial" w:hAnsi="Arial" w:cs="Arial"/>
                <w:b/>
                <w:sz w:val="18"/>
                <w:szCs w:val="18"/>
              </w:rPr>
              <w:t xml:space="preserve">Down-regulated </w:t>
            </w:r>
          </w:p>
        </w:tc>
        <w:tc>
          <w:tcPr>
            <w:tcW w:w="1925" w:type="dxa"/>
            <w:vAlign w:val="center"/>
          </w:tcPr>
          <w:p w14:paraId="24B7F454" w14:textId="182CC9D0" w:rsidR="00992C7D" w:rsidRPr="00E34491" w:rsidRDefault="00992C7D" w:rsidP="00A545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B742A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45" w:type="dxa"/>
            <w:vAlign w:val="center"/>
          </w:tcPr>
          <w:p w14:paraId="594F6B61" w14:textId="1F02BD1D" w:rsidR="00992C7D" w:rsidRPr="00E34491" w:rsidRDefault="00992C7D" w:rsidP="00A545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4,211</w:t>
            </w:r>
          </w:p>
        </w:tc>
      </w:tr>
    </w:tbl>
    <w:p w14:paraId="651FFF16" w14:textId="24F442CF" w:rsidR="00525EA9" w:rsidRPr="00B742A5" w:rsidRDefault="00584F31">
      <w:pPr>
        <w:rPr>
          <w:rFonts w:ascii="Arial" w:hAnsi="Arial" w:cs="Arial"/>
          <w:sz w:val="21"/>
        </w:rPr>
      </w:pPr>
      <w:r w:rsidRPr="00B742A5">
        <w:rPr>
          <w:rFonts w:ascii="Arial" w:hAnsi="Arial" w:cs="Arial"/>
          <w:sz w:val="21"/>
        </w:rPr>
        <w:t xml:space="preserve">ABAC and </w:t>
      </w:r>
      <w:r w:rsidR="00F60213" w:rsidRPr="00B742A5">
        <w:rPr>
          <w:rFonts w:ascii="Arial" w:hAnsi="Arial" w:cs="Arial"/>
          <w:sz w:val="21"/>
        </w:rPr>
        <w:t>FBAC</w:t>
      </w:r>
      <w:r w:rsidRPr="00B742A5">
        <w:rPr>
          <w:rFonts w:ascii="Arial" w:hAnsi="Arial" w:cs="Arial"/>
          <w:sz w:val="21"/>
        </w:rPr>
        <w:t xml:space="preserve"> denote bacteriocytes of aphid lines </w:t>
      </w:r>
      <w:r w:rsidR="00F52083" w:rsidRPr="00B742A5">
        <w:rPr>
          <w:rFonts w:ascii="Arial" w:hAnsi="Arial" w:cs="Arial"/>
          <w:sz w:val="21"/>
        </w:rPr>
        <w:t xml:space="preserve">feeding on </w:t>
      </w:r>
      <w:r w:rsidRPr="00B742A5">
        <w:rPr>
          <w:rFonts w:ascii="Arial" w:hAnsi="Arial" w:cs="Arial"/>
          <w:sz w:val="21"/>
        </w:rPr>
        <w:t>alfalfa</w:t>
      </w:r>
      <w:r w:rsidR="00F60213" w:rsidRPr="00B742A5">
        <w:rPr>
          <w:rFonts w:ascii="Arial" w:hAnsi="Arial" w:cs="Arial"/>
          <w:sz w:val="21"/>
        </w:rPr>
        <w:t xml:space="preserve"> and fava, respectively. BAC and </w:t>
      </w:r>
      <w:r w:rsidRPr="00B742A5">
        <w:rPr>
          <w:rFonts w:ascii="Arial" w:hAnsi="Arial" w:cs="Arial"/>
          <w:sz w:val="21"/>
        </w:rPr>
        <w:t xml:space="preserve">BODY denote bacteriocytes and body cells of </w:t>
      </w:r>
      <w:r w:rsidR="00F60213" w:rsidRPr="00B742A5">
        <w:rPr>
          <w:rFonts w:ascii="Arial" w:hAnsi="Arial" w:cs="Arial"/>
          <w:sz w:val="21"/>
        </w:rPr>
        <w:t xml:space="preserve">both </w:t>
      </w:r>
      <w:r w:rsidRPr="00B742A5">
        <w:rPr>
          <w:rFonts w:ascii="Arial" w:hAnsi="Arial" w:cs="Arial"/>
          <w:sz w:val="21"/>
        </w:rPr>
        <w:t xml:space="preserve">aphid lines </w:t>
      </w:r>
      <w:r w:rsidR="00F52083" w:rsidRPr="00B742A5">
        <w:rPr>
          <w:rFonts w:ascii="Arial" w:hAnsi="Arial" w:cs="Arial"/>
          <w:sz w:val="21"/>
        </w:rPr>
        <w:t>feeding on</w:t>
      </w:r>
      <w:r w:rsidRPr="00B742A5">
        <w:rPr>
          <w:rFonts w:ascii="Arial" w:hAnsi="Arial" w:cs="Arial"/>
          <w:sz w:val="21"/>
        </w:rPr>
        <w:t xml:space="preserve"> </w:t>
      </w:r>
      <w:r w:rsidR="00F60213" w:rsidRPr="00B742A5">
        <w:rPr>
          <w:rFonts w:ascii="Arial" w:hAnsi="Arial" w:cs="Arial"/>
          <w:sz w:val="21"/>
        </w:rPr>
        <w:t>alfalfa and fava, respectively</w:t>
      </w:r>
      <w:r w:rsidRPr="00B742A5">
        <w:rPr>
          <w:rFonts w:ascii="Arial" w:hAnsi="Arial" w:cs="Arial"/>
          <w:sz w:val="21"/>
        </w:rPr>
        <w:t xml:space="preserve">. </w:t>
      </w:r>
      <w:r w:rsidR="00F60213" w:rsidRPr="00B742A5">
        <w:rPr>
          <w:rFonts w:ascii="Arial" w:hAnsi="Arial" w:cs="Arial"/>
          <w:sz w:val="21"/>
        </w:rPr>
        <w:t>ABAC and FBAC have</w:t>
      </w:r>
      <w:r w:rsidRPr="00B742A5">
        <w:rPr>
          <w:rFonts w:ascii="Arial" w:hAnsi="Arial" w:cs="Arial"/>
          <w:sz w:val="21"/>
        </w:rPr>
        <w:t xml:space="preserve"> three biological replicates</w:t>
      </w:r>
      <w:r w:rsidR="00F60213" w:rsidRPr="00B742A5">
        <w:rPr>
          <w:rFonts w:ascii="Arial" w:hAnsi="Arial" w:cs="Arial"/>
          <w:sz w:val="21"/>
        </w:rPr>
        <w:t>.</w:t>
      </w:r>
      <w:r w:rsidR="00F52083" w:rsidRPr="00B742A5">
        <w:rPr>
          <w:rFonts w:ascii="Arial" w:hAnsi="Arial" w:cs="Arial"/>
          <w:sz w:val="21"/>
        </w:rPr>
        <w:t xml:space="preserve"> </w:t>
      </w:r>
      <w:r w:rsidR="00F60213" w:rsidRPr="00B742A5">
        <w:rPr>
          <w:rFonts w:ascii="Arial" w:hAnsi="Arial" w:cs="Arial"/>
          <w:sz w:val="21"/>
        </w:rPr>
        <w:t>BAC and BODY have</w:t>
      </w:r>
      <w:r w:rsidR="00F52083" w:rsidRPr="00B742A5">
        <w:rPr>
          <w:rFonts w:ascii="Arial" w:hAnsi="Arial" w:cs="Arial"/>
          <w:sz w:val="21"/>
        </w:rPr>
        <w:t xml:space="preserve"> 6 biological replicates</w:t>
      </w:r>
      <w:r w:rsidRPr="00B742A5">
        <w:rPr>
          <w:rFonts w:ascii="Arial" w:hAnsi="Arial" w:cs="Arial"/>
          <w:sz w:val="21"/>
        </w:rPr>
        <w:t>.</w:t>
      </w:r>
      <w:r w:rsidR="00F60213" w:rsidRPr="00B742A5">
        <w:rPr>
          <w:rFonts w:ascii="Arial" w:hAnsi="Arial" w:cs="Arial"/>
          <w:sz w:val="21"/>
          <w:vertAlign w:val="superscript"/>
        </w:rPr>
        <w:t xml:space="preserve"> 1</w:t>
      </w:r>
      <w:r w:rsidR="00F60213" w:rsidRPr="00B742A5">
        <w:rPr>
          <w:rFonts w:ascii="Arial" w:hAnsi="Arial" w:cs="Arial"/>
          <w:sz w:val="21"/>
        </w:rPr>
        <w:t>FDR corrected p-value &lt; 0.05, normalized read count values &gt; 1.5x for BAC vs. BODY; FDR corrected p-value &lt;0.1</w:t>
      </w:r>
      <w:r w:rsidR="00B742A5" w:rsidRPr="00B742A5">
        <w:rPr>
          <w:rFonts w:ascii="Arial" w:hAnsi="Arial" w:cs="Arial"/>
          <w:sz w:val="21"/>
        </w:rPr>
        <w:t xml:space="preserve"> </w:t>
      </w:r>
      <w:r w:rsidR="00F60213" w:rsidRPr="00B742A5">
        <w:rPr>
          <w:rFonts w:ascii="Arial" w:hAnsi="Arial" w:cs="Arial"/>
          <w:sz w:val="21"/>
        </w:rPr>
        <w:t>for ABAC vs. FBAC</w:t>
      </w:r>
    </w:p>
    <w:sectPr w:rsidR="00525EA9" w:rsidRPr="00B742A5" w:rsidSect="00525E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12"/>
    <w:rsid w:val="000364AF"/>
    <w:rsid w:val="0006219E"/>
    <w:rsid w:val="000F5120"/>
    <w:rsid w:val="00163EE1"/>
    <w:rsid w:val="00302591"/>
    <w:rsid w:val="003327C1"/>
    <w:rsid w:val="00371345"/>
    <w:rsid w:val="00432BAD"/>
    <w:rsid w:val="00441D61"/>
    <w:rsid w:val="004B5E14"/>
    <w:rsid w:val="004E2A5F"/>
    <w:rsid w:val="004F2AD1"/>
    <w:rsid w:val="00525EA9"/>
    <w:rsid w:val="00584F31"/>
    <w:rsid w:val="007269E6"/>
    <w:rsid w:val="007C6CBD"/>
    <w:rsid w:val="008A2DED"/>
    <w:rsid w:val="00992C7D"/>
    <w:rsid w:val="009C2BD8"/>
    <w:rsid w:val="00A12145"/>
    <w:rsid w:val="00A54512"/>
    <w:rsid w:val="00B31566"/>
    <w:rsid w:val="00B742A5"/>
    <w:rsid w:val="00C21271"/>
    <w:rsid w:val="00C340A8"/>
    <w:rsid w:val="00D139A8"/>
    <w:rsid w:val="00D1419A"/>
    <w:rsid w:val="00E34491"/>
    <w:rsid w:val="00F52083"/>
    <w:rsid w:val="00F6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E9B7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20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0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0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0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08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083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20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0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0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0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08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08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HansenLabMacPro</dc:creator>
  <cp:lastModifiedBy>Copy Editor</cp:lastModifiedBy>
  <cp:revision>2</cp:revision>
  <dcterms:created xsi:type="dcterms:W3CDTF">2018-05-16T16:03:00Z</dcterms:created>
  <dcterms:modified xsi:type="dcterms:W3CDTF">2018-05-16T16:03:00Z</dcterms:modified>
</cp:coreProperties>
</file>