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20" w:type="dxa"/>
        <w:jc w:val="center"/>
        <w:tblLook w:val="04A0" w:firstRow="1" w:lastRow="0" w:firstColumn="1" w:lastColumn="0" w:noHBand="0" w:noVBand="1"/>
      </w:tblPr>
      <w:tblGrid>
        <w:gridCol w:w="1890"/>
        <w:gridCol w:w="1710"/>
        <w:gridCol w:w="3150"/>
        <w:gridCol w:w="1390"/>
        <w:gridCol w:w="980"/>
      </w:tblGrid>
      <w:tr w:rsidR="00E221BE" w:rsidRPr="00F730D2" w14:paraId="5DD69334" w14:textId="77777777" w:rsidTr="00E221BE">
        <w:trPr>
          <w:trHeight w:val="2000"/>
          <w:jc w:val="center"/>
        </w:trPr>
        <w:tc>
          <w:tcPr>
            <w:tcW w:w="91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9D33BC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bookmarkStart w:id="0" w:name="_GoBack"/>
            <w:bookmarkEnd w:id="0"/>
            <w:r w:rsidRPr="00F730D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Table S16 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 xml:space="preserve">Significant enrichment of gene ontology (GO) terms for each pairwise comparison. Only significantly enriched GO terms are listed. The corrected </w:t>
            </w:r>
            <w:r w:rsidRPr="00F730D2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P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-values (</w:t>
            </w:r>
            <w:r w:rsidRPr="00F730D2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P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; FDR) and the number of genes is also listed.</w:t>
            </w:r>
          </w:p>
        </w:tc>
      </w:tr>
      <w:tr w:rsidR="00E221BE" w:rsidRPr="00F730D2" w14:paraId="51330D2D" w14:textId="77777777" w:rsidTr="00E221BE">
        <w:trPr>
          <w:trHeight w:val="605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1EEA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Selection Regime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B57F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Pairwise Comparison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B5B5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 Term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C22A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No. of Query Genes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7DD5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P</w:t>
            </w:r>
            <w:r w:rsidRPr="00F730D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-value</w:t>
            </w:r>
          </w:p>
        </w:tc>
      </w:tr>
      <w:tr w:rsidR="00E221BE" w:rsidRPr="00F730D2" w14:paraId="3A02515C" w14:textId="77777777" w:rsidTr="00E221BE">
        <w:trPr>
          <w:trHeight w:val="335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450D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2,3-Butanedione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C50F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BUT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  <w:vertAlign w:val="superscript"/>
              </w:rPr>
              <w:t>+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 xml:space="preserve"> vs. BUT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  <w:vertAlign w:val="superscript"/>
              </w:rPr>
              <w:t>-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AB945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sulfur compound metabolic process (GO:0006790)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290C4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7D0F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0.0454</w:t>
            </w:r>
          </w:p>
        </w:tc>
      </w:tr>
      <w:tr w:rsidR="00E221BE" w:rsidRPr="00F730D2" w14:paraId="1471BCB1" w14:textId="77777777" w:rsidTr="00E221BE">
        <w:trPr>
          <w:trHeight w:val="335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81702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2,3-Butanedione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6060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BUT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  <w:vertAlign w:val="superscript"/>
              </w:rPr>
              <w:t>-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 xml:space="preserve"> vs. Control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02A3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sulfur compound metabolic process (GO:0006790)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1728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419C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0.0113</w:t>
            </w:r>
          </w:p>
        </w:tc>
      </w:tr>
      <w:tr w:rsidR="00E221BE" w:rsidRPr="00F730D2" w14:paraId="6615CCBE" w14:textId="77777777" w:rsidTr="00E221BE">
        <w:trPr>
          <w:trHeight w:val="335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7C8F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2,3-Butanedione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64E0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BUT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  <w:vertAlign w:val="superscript"/>
              </w:rPr>
              <w:t>-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 xml:space="preserve"> vs. Control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A091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cell-cell adhesion (GO:0016337)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C78C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1CC6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0.0457</w:t>
            </w:r>
          </w:p>
        </w:tc>
      </w:tr>
      <w:tr w:rsidR="00E221BE" w:rsidRPr="00F730D2" w14:paraId="3434FC4B" w14:textId="77777777" w:rsidTr="00E221BE">
        <w:trPr>
          <w:trHeight w:val="35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75AE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2,3-Butanedione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7A31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BUT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  <w:vertAlign w:val="superscript"/>
              </w:rPr>
              <w:t>-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 xml:space="preserve"> vs. Control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B6585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translation (GO:0006412)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2703E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B497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0.0287</w:t>
            </w:r>
          </w:p>
        </w:tc>
      </w:tr>
      <w:tr w:rsidR="00E221BE" w:rsidRPr="00F730D2" w14:paraId="2D6BE4A4" w14:textId="77777777" w:rsidTr="00E221BE">
        <w:trPr>
          <w:trHeight w:val="335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9140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Cyclohexanone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43372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CYC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  <w:vertAlign w:val="superscript"/>
              </w:rPr>
              <w:t>+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 xml:space="preserve"> vs. CYC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  <w:vertAlign w:val="superscript"/>
              </w:rPr>
              <w:t>-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652C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sulfur compound metabolic process (GO:0006790)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0AC6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E13D6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0.0024</w:t>
            </w:r>
          </w:p>
        </w:tc>
      </w:tr>
      <w:tr w:rsidR="00E221BE" w:rsidRPr="00F730D2" w14:paraId="26ABF7EA" w14:textId="77777777" w:rsidTr="00E221BE">
        <w:trPr>
          <w:trHeight w:val="335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30A3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Cyclohexanone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9482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CYC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  <w:vertAlign w:val="superscript"/>
              </w:rPr>
              <w:t>+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 xml:space="preserve"> vs. CYC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  <w:vertAlign w:val="superscript"/>
              </w:rPr>
              <w:t>-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4161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cellular amino acid metabolic process (GO:0006520)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FED58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3145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0.0374</w:t>
            </w:r>
          </w:p>
        </w:tc>
      </w:tr>
      <w:tr w:rsidR="00E221BE" w:rsidRPr="00F730D2" w14:paraId="03F7478D" w14:textId="77777777" w:rsidTr="00E221BE">
        <w:trPr>
          <w:trHeight w:val="335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894D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Cyclohexanone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18C7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CYC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  <w:vertAlign w:val="superscript"/>
              </w:rPr>
              <w:t>-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 xml:space="preserve"> vs. Control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60EA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RNA metabolic process (GO:0016070)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3A396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7C45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0.0412</w:t>
            </w:r>
          </w:p>
        </w:tc>
      </w:tr>
      <w:tr w:rsidR="00E221BE" w:rsidRPr="00F730D2" w14:paraId="3A81F0B5" w14:textId="77777777" w:rsidTr="00E221BE">
        <w:trPr>
          <w:trHeight w:val="335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8F97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Cyclohexanone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6382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CYC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  <w:vertAlign w:val="superscript"/>
              </w:rPr>
              <w:t>-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 xml:space="preserve"> vs. Control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28EC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cellular component biogenesis (GO:0044085)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D680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2D494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0.0096</w:t>
            </w:r>
          </w:p>
        </w:tc>
      </w:tr>
      <w:tr w:rsidR="00E221BE" w:rsidRPr="00F730D2" w14:paraId="7D61A2EE" w14:textId="77777777" w:rsidTr="00E221BE">
        <w:trPr>
          <w:trHeight w:val="35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1969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Cyclohexanone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799D3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CYC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  <w:vertAlign w:val="superscript"/>
              </w:rPr>
              <w:t>-</w:t>
            </w: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 xml:space="preserve"> vs. Control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514D6" w14:textId="77777777" w:rsidR="00E221BE" w:rsidRPr="00F730D2" w:rsidRDefault="00E221BE" w:rsidP="00E221B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nitrogen compound metabolic process (GO:0006807)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D1FC6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B417" w14:textId="77777777" w:rsidR="00E221BE" w:rsidRPr="00F730D2" w:rsidRDefault="00E221BE" w:rsidP="00E221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730D2">
              <w:rPr>
                <w:rFonts w:ascii="Calibri" w:eastAsia="Times New Roman" w:hAnsi="Calibri" w:cs="Calibri"/>
                <w:sz w:val="20"/>
                <w:szCs w:val="20"/>
              </w:rPr>
              <w:t>0.0017</w:t>
            </w:r>
          </w:p>
        </w:tc>
      </w:tr>
    </w:tbl>
    <w:p w14:paraId="481DCB92" w14:textId="77777777" w:rsidR="00D86774" w:rsidRPr="00F730D2" w:rsidRDefault="00F730D2" w:rsidP="00E221BE">
      <w:pPr>
        <w:rPr>
          <w:sz w:val="20"/>
          <w:szCs w:val="20"/>
        </w:rPr>
      </w:pPr>
    </w:p>
    <w:sectPr w:rsidR="00D86774" w:rsidRPr="00F73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1BE"/>
    <w:rsid w:val="00063763"/>
    <w:rsid w:val="00BC74B8"/>
    <w:rsid w:val="00E221BE"/>
    <w:rsid w:val="00F7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629AB"/>
  <w15:chartTrackingRefBased/>
  <w15:docId w15:val="{CCB4656D-69CB-47EC-8DCD-A04B96D45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81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Brown</dc:creator>
  <cp:keywords/>
  <dc:description/>
  <cp:lastModifiedBy>Elizabeth Brown</cp:lastModifiedBy>
  <cp:revision>3</cp:revision>
  <dcterms:created xsi:type="dcterms:W3CDTF">2019-10-05T16:28:00Z</dcterms:created>
  <dcterms:modified xsi:type="dcterms:W3CDTF">2019-10-05T16:49:00Z</dcterms:modified>
</cp:coreProperties>
</file>