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0791B0C" w14:textId="65EE0BD3" w:rsidR="00156E4A" w:rsidRPr="00F37191" w:rsidRDefault="00F37191">
      <w:pPr>
        <w:rPr>
          <w:lang w:val="en-AU"/>
        </w:rPr>
      </w:pPr>
      <w:bookmarkStart w:id="0" w:name="_GoBack"/>
      <w:r>
        <w:rPr>
          <w:noProof/>
          <w:lang w:val="en-AU"/>
        </w:rPr>
        <w:drawing>
          <wp:inline distT="0" distB="0" distL="0" distR="0" wp14:anchorId="0FD5EE4F" wp14:editId="55678415">
            <wp:extent cx="5727700" cy="260985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uppFig1.tif"/>
                    <pic:cNvPicPr/>
                  </pic:nvPicPr>
                  <pic:blipFill>
                    <a:blip r:embed="rId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1779FCB2" w14:textId="76EF81DA" w:rsidR="00770EFC" w:rsidRPr="00F37191" w:rsidRDefault="00156E4A">
      <w:pPr>
        <w:rPr>
          <w:rFonts w:ascii="Garamond" w:hAnsi="Garamond"/>
          <w:lang w:val="en-AU"/>
        </w:rPr>
      </w:pPr>
      <w:r w:rsidRPr="007D7A4D">
        <w:rPr>
          <w:rFonts w:ascii="Garamond" w:hAnsi="Garamond"/>
          <w:lang w:val="en-AU"/>
        </w:rPr>
        <w:t>Supplementary Fig</w:t>
      </w:r>
      <w:r w:rsidR="00B9471C">
        <w:rPr>
          <w:rFonts w:ascii="Garamond" w:hAnsi="Garamond"/>
          <w:lang w:val="en-AU"/>
        </w:rPr>
        <w:t>ure</w:t>
      </w:r>
      <w:r w:rsidRPr="007D7A4D">
        <w:rPr>
          <w:rFonts w:ascii="Garamond" w:hAnsi="Garamond"/>
          <w:lang w:val="en-AU"/>
        </w:rPr>
        <w:t xml:space="preserve"> 1. </w:t>
      </w:r>
      <w:r w:rsidR="003D77BE" w:rsidRPr="007D7A4D">
        <w:rPr>
          <w:rFonts w:ascii="Garamond" w:hAnsi="Garamond"/>
          <w:lang w:val="en-AU"/>
        </w:rPr>
        <w:t>Principle component analysis (</w:t>
      </w:r>
      <w:r w:rsidRPr="007D7A4D">
        <w:rPr>
          <w:rFonts w:ascii="Garamond" w:hAnsi="Garamond"/>
          <w:lang w:val="en-AU"/>
        </w:rPr>
        <w:t>PCA</w:t>
      </w:r>
      <w:r w:rsidR="003D77BE" w:rsidRPr="007D7A4D">
        <w:rPr>
          <w:rFonts w:ascii="Garamond" w:hAnsi="Garamond"/>
          <w:lang w:val="en-AU"/>
        </w:rPr>
        <w:t>)</w:t>
      </w:r>
      <w:r w:rsidRPr="007D7A4D">
        <w:rPr>
          <w:rFonts w:ascii="Garamond" w:hAnsi="Garamond"/>
          <w:lang w:val="en-AU"/>
        </w:rPr>
        <w:t xml:space="preserve"> of variance stabilised transcripts in HL60/S4 cells with A) TNF</w:t>
      </w:r>
      <w:r w:rsidR="003D77BE" w:rsidRPr="007D7A4D">
        <w:rPr>
          <w:rFonts w:ascii="Garamond" w:hAnsi="Garamond"/>
          <w:lang w:val="en-AU"/>
        </w:rPr>
        <w:t>-</w:t>
      </w:r>
      <w:r w:rsidR="003D77BE" w:rsidRPr="003D77BE">
        <w:rPr>
          <w:rFonts w:ascii="Garamond" w:hAnsi="Garamond"/>
          <w:lang w:val="en-AU"/>
        </w:rPr>
        <w:sym w:font="Symbol" w:char="F061"/>
      </w:r>
      <w:r w:rsidRPr="007D7A4D">
        <w:rPr>
          <w:rFonts w:ascii="Garamond" w:hAnsi="Garamond"/>
          <w:lang w:val="en-AU"/>
        </w:rPr>
        <w:t xml:space="preserve"> treatment for two hours</w:t>
      </w:r>
      <w:r w:rsidR="008D28E5" w:rsidRPr="007D7A4D">
        <w:rPr>
          <w:rFonts w:ascii="Garamond" w:hAnsi="Garamond"/>
          <w:lang w:val="en-AU"/>
        </w:rPr>
        <w:t>;</w:t>
      </w:r>
      <w:r w:rsidRPr="007D7A4D">
        <w:rPr>
          <w:rFonts w:ascii="Garamond" w:hAnsi="Garamond"/>
          <w:lang w:val="en-AU"/>
        </w:rPr>
        <w:t xml:space="preserve"> B) ATRA-differentiation for four days, then TNF</w:t>
      </w:r>
      <w:r w:rsidR="003D77BE" w:rsidRPr="00A432D4">
        <w:rPr>
          <w:rFonts w:ascii="Garamond" w:hAnsi="Garamond"/>
          <w:lang w:val="en-AU"/>
        </w:rPr>
        <w:t>-</w:t>
      </w:r>
      <w:r w:rsidR="003D77BE" w:rsidRPr="003D77BE">
        <w:rPr>
          <w:rFonts w:ascii="Garamond" w:hAnsi="Garamond"/>
          <w:lang w:val="en-AU"/>
        </w:rPr>
        <w:sym w:font="Symbol" w:char="F061"/>
      </w:r>
      <w:r w:rsidRPr="007D7A4D">
        <w:rPr>
          <w:rFonts w:ascii="Garamond" w:hAnsi="Garamond"/>
          <w:lang w:val="en-AU"/>
        </w:rPr>
        <w:t xml:space="preserve"> treatment for two hours</w:t>
      </w:r>
      <w:r w:rsidR="008D28E5" w:rsidRPr="007D7A4D">
        <w:rPr>
          <w:rFonts w:ascii="Garamond" w:hAnsi="Garamond"/>
          <w:lang w:val="en-AU"/>
        </w:rPr>
        <w:t>;</w:t>
      </w:r>
      <w:r w:rsidRPr="007D7A4D">
        <w:rPr>
          <w:rFonts w:ascii="Garamond" w:hAnsi="Garamond"/>
          <w:lang w:val="en-AU"/>
        </w:rPr>
        <w:t xml:space="preserve"> C) Differentiation with ATRA, TPA, or vehicle for four days.</w:t>
      </w:r>
    </w:p>
    <w:sectPr w:rsidR="00770EFC" w:rsidRPr="00F37191" w:rsidSect="00910571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Calibri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trackRevision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7AC5"/>
    <w:rsid w:val="00130466"/>
    <w:rsid w:val="00156E4A"/>
    <w:rsid w:val="003D77BE"/>
    <w:rsid w:val="00414601"/>
    <w:rsid w:val="00477AC5"/>
    <w:rsid w:val="00610EC7"/>
    <w:rsid w:val="00714C35"/>
    <w:rsid w:val="0071679C"/>
    <w:rsid w:val="00770EFC"/>
    <w:rsid w:val="007D7A4D"/>
    <w:rsid w:val="008D28E5"/>
    <w:rsid w:val="00910571"/>
    <w:rsid w:val="00951AE1"/>
    <w:rsid w:val="009933CA"/>
    <w:rsid w:val="00AA4385"/>
    <w:rsid w:val="00B9471C"/>
    <w:rsid w:val="00E45FE6"/>
    <w:rsid w:val="00F371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593F6C"/>
  <w14:defaultImageDpi w14:val="32767"/>
  <w15:chartTrackingRefBased/>
  <w15:docId w15:val="{156AF5D1-BC81-3E41-86F0-2183989AF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8D28E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D28E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D28E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D28E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D28E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D28E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D28E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6604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42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Elsie Jacobson</dc:creator>
  <cp:keywords/>
  <dc:description/>
  <cp:lastModifiedBy>Elsie Jacobson</cp:lastModifiedBy>
  <cp:revision>9</cp:revision>
  <dcterms:created xsi:type="dcterms:W3CDTF">2018-10-22T23:12:00Z</dcterms:created>
  <dcterms:modified xsi:type="dcterms:W3CDTF">2018-11-05T20:07:00Z</dcterms:modified>
</cp:coreProperties>
</file>