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BE53D" w14:textId="703D824E" w:rsidR="00D66775" w:rsidRPr="00662695" w:rsidRDefault="00D66775" w:rsidP="00D66775">
      <w:pPr>
        <w:spacing w:line="240" w:lineRule="auto"/>
        <w:ind w:firstLine="0"/>
        <w:rPr>
          <w:b/>
          <w:i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Table S</w:t>
      </w:r>
      <w:r w:rsidR="00EB3289">
        <w:rPr>
          <w:b/>
          <w:color w:val="000000" w:themeColor="text1"/>
          <w:szCs w:val="24"/>
        </w:rPr>
        <w:t>1</w:t>
      </w:r>
      <w:r>
        <w:rPr>
          <w:b/>
          <w:color w:val="000000" w:themeColor="text1"/>
          <w:szCs w:val="24"/>
        </w:rPr>
        <w:t xml:space="preserve">. </w:t>
      </w:r>
      <w:r>
        <w:rPr>
          <w:b/>
          <w:i/>
          <w:color w:val="000000" w:themeColor="text1"/>
          <w:szCs w:val="24"/>
        </w:rPr>
        <w:t>C. elegans</w:t>
      </w:r>
      <w:r w:rsidRPr="00662695">
        <w:rPr>
          <w:b/>
          <w:color w:val="000000" w:themeColor="text1"/>
          <w:szCs w:val="24"/>
        </w:rPr>
        <w:t xml:space="preserve"> strains </w:t>
      </w:r>
      <w:r>
        <w:rPr>
          <w:b/>
          <w:color w:val="000000" w:themeColor="text1"/>
          <w:szCs w:val="24"/>
        </w:rPr>
        <w:t>used in this study</w:t>
      </w:r>
    </w:p>
    <w:p w14:paraId="04062A82" w14:textId="77777777" w:rsidR="00D66775" w:rsidRDefault="00D66775" w:rsidP="00D66775">
      <w:pPr>
        <w:spacing w:line="240" w:lineRule="auto"/>
        <w:ind w:firstLine="0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5811"/>
        <w:gridCol w:w="2551"/>
      </w:tblGrid>
      <w:tr w:rsidR="00D66775" w:rsidRPr="007F74EE" w14:paraId="389A136E" w14:textId="77777777" w:rsidTr="00E6641A">
        <w:tc>
          <w:tcPr>
            <w:tcW w:w="988" w:type="dxa"/>
          </w:tcPr>
          <w:p w14:paraId="7B996C6E" w14:textId="77777777" w:rsidR="00D66775" w:rsidRPr="007F74EE" w:rsidRDefault="00D66775" w:rsidP="00E6641A">
            <w:pPr>
              <w:spacing w:line="240" w:lineRule="auto"/>
              <w:ind w:firstLine="0"/>
              <w:rPr>
                <w:b/>
                <w:color w:val="000000" w:themeColor="text1"/>
                <w:sz w:val="20"/>
                <w:szCs w:val="20"/>
              </w:rPr>
            </w:pPr>
            <w:r w:rsidRPr="007F74EE">
              <w:rPr>
                <w:b/>
                <w:color w:val="000000" w:themeColor="text1"/>
                <w:sz w:val="20"/>
                <w:szCs w:val="20"/>
              </w:rPr>
              <w:t>Strain</w:t>
            </w:r>
          </w:p>
        </w:tc>
        <w:tc>
          <w:tcPr>
            <w:tcW w:w="5811" w:type="dxa"/>
          </w:tcPr>
          <w:p w14:paraId="47E1A26F" w14:textId="77777777" w:rsidR="00D66775" w:rsidRPr="007F74EE" w:rsidRDefault="00D66775" w:rsidP="00E6641A">
            <w:pPr>
              <w:spacing w:line="240" w:lineRule="auto"/>
              <w:ind w:firstLine="0"/>
              <w:rPr>
                <w:b/>
                <w:color w:val="000000" w:themeColor="text1"/>
                <w:sz w:val="20"/>
                <w:szCs w:val="20"/>
              </w:rPr>
            </w:pPr>
            <w:r w:rsidRPr="007F74EE">
              <w:rPr>
                <w:b/>
                <w:color w:val="000000" w:themeColor="text1"/>
                <w:sz w:val="20"/>
                <w:szCs w:val="20"/>
              </w:rPr>
              <w:t>Genotype</w:t>
            </w:r>
          </w:p>
        </w:tc>
        <w:tc>
          <w:tcPr>
            <w:tcW w:w="2551" w:type="dxa"/>
          </w:tcPr>
          <w:p w14:paraId="36215A83" w14:textId="77777777" w:rsidR="00D66775" w:rsidRPr="007F74EE" w:rsidRDefault="00D66775" w:rsidP="00E6641A">
            <w:pPr>
              <w:spacing w:line="240" w:lineRule="auto"/>
              <w:ind w:firstLine="0"/>
              <w:rPr>
                <w:b/>
                <w:color w:val="000000" w:themeColor="text1"/>
                <w:sz w:val="20"/>
                <w:szCs w:val="20"/>
              </w:rPr>
            </w:pPr>
            <w:r w:rsidRPr="007F74EE">
              <w:rPr>
                <w:b/>
                <w:color w:val="000000" w:themeColor="text1"/>
                <w:sz w:val="20"/>
                <w:szCs w:val="20"/>
              </w:rPr>
              <w:t>Reference</w:t>
            </w:r>
          </w:p>
        </w:tc>
      </w:tr>
      <w:tr w:rsidR="00D66775" w:rsidRPr="007F74EE" w14:paraId="1736BA77" w14:textId="77777777" w:rsidTr="00E6641A">
        <w:tc>
          <w:tcPr>
            <w:tcW w:w="988" w:type="dxa"/>
          </w:tcPr>
          <w:p w14:paraId="09E83383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N2</w:t>
            </w:r>
          </w:p>
        </w:tc>
        <w:tc>
          <w:tcPr>
            <w:tcW w:w="5811" w:type="dxa"/>
          </w:tcPr>
          <w:p w14:paraId="2C0CE62F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Wild-type</w:t>
            </w:r>
          </w:p>
        </w:tc>
        <w:tc>
          <w:tcPr>
            <w:tcW w:w="2551" w:type="dxa"/>
          </w:tcPr>
          <w:p w14:paraId="05E75864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7F74EE">
              <w:rPr>
                <w:color w:val="000000" w:themeColor="text1"/>
                <w:sz w:val="20"/>
                <w:szCs w:val="20"/>
              </w:rPr>
              <w:instrText xml:space="preserve"> ADDIN EN.CITE &lt;EndNote&gt;&lt;Cite&gt;&lt;Author&gt;Brenner&lt;/Author&gt;&lt;Year&gt;1974&lt;/Year&gt;&lt;RecNum&gt;120&lt;/RecNum&gt;&lt;DisplayText&gt;(Brenner, 1974)&lt;/DisplayText&gt;&lt;record&gt;&lt;rec-number&gt;120&lt;/rec-number&gt;&lt;foreign-keys&gt;&lt;key app="EN" db-id="a2pdsp2fas5svcedfps5d5rz52s92z9esavv" timestamp="1467056294"&gt;120&lt;/key&gt;&lt;/foreign-keys&gt;&lt;ref-type name="Journal Article"&gt;17&lt;/ref-type&gt;&lt;contributors&gt;&lt;authors&gt;&lt;author&gt;Brenner, S.&lt;/author&gt;&lt;/authors&gt;&lt;/contributors&gt;&lt;titles&gt;&lt;title&gt;&lt;style face="normal" font="default" size="100%"&gt;The genetics of &lt;/style&gt;&lt;style face="italic" font="default" size="100%"&gt;Caenorhabditis elegans&lt;/style&gt;&lt;/title&gt;&lt;secondary-title&gt;Genetics&lt;/secondary-title&gt;&lt;/titles&gt;&lt;periodical&gt;&lt;full-title&gt;Genetics&lt;/full-title&gt;&lt;/periodical&gt;&lt;pages&gt;71-94&lt;/pages&gt;&lt;volume&gt;77&lt;/volume&gt;&lt;number&gt;1&lt;/number&gt;&lt;dates&gt;&lt;year&gt;1974&lt;/year&gt;&lt;pub-dates&gt;&lt;date&gt;1974-05-01 00:00:00&lt;/date&gt;&lt;/pub-dates&gt;&lt;/dates&gt;&lt;urls&gt;&lt;related-urls&gt;&lt;url&gt;http://www.genetics.org/content/genetics/77/1/71.full.pdf&lt;/url&gt;&lt;/related-urls&gt;&lt;/urls&gt;&lt;/record&gt;&lt;/Cite&gt;&lt;/EndNote&gt;</w:instrTex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7F74EE">
              <w:rPr>
                <w:noProof/>
                <w:color w:val="000000" w:themeColor="text1"/>
                <w:sz w:val="20"/>
                <w:szCs w:val="20"/>
              </w:rPr>
              <w:t>(Brenner, 1974)</w: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66775" w:rsidRPr="007F74EE" w14:paraId="34A8AAC2" w14:textId="77777777" w:rsidTr="00E6641A">
        <w:tc>
          <w:tcPr>
            <w:tcW w:w="988" w:type="dxa"/>
          </w:tcPr>
          <w:p w14:paraId="299C1B4F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MAS39</w:t>
            </w:r>
          </w:p>
        </w:tc>
        <w:tc>
          <w:tcPr>
            <w:tcW w:w="5811" w:type="dxa"/>
          </w:tcPr>
          <w:p w14:paraId="64D06264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I</w:t>
            </w:r>
          </w:p>
        </w:tc>
        <w:tc>
          <w:tcPr>
            <w:tcW w:w="2551" w:type="dxa"/>
          </w:tcPr>
          <w:p w14:paraId="295B751D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7F74EE">
              <w:rPr>
                <w:color w:val="000000" w:themeColor="text1"/>
                <w:sz w:val="20"/>
                <w:szCs w:val="20"/>
              </w:rPr>
              <w:instrText xml:space="preserve"> ADDIN EN.CITE &lt;EndNote&gt;&lt;Cite&gt;&lt;Author&gt;Lange&lt;/Author&gt;&lt;Year&gt;2012&lt;/Year&gt;&lt;RecNum&gt;3&lt;/RecNum&gt;&lt;DisplayText&gt;(Lange et al., 2012)&lt;/DisplayText&gt;&lt;record&gt;&lt;rec-number&gt;3&lt;/rec-number&gt;&lt;foreign-keys&gt;&lt;key app="EN" db-id="a2pdsp2fas5svcedfps5d5rz52s92z9esavv" timestamp="1459225121"&gt;3&lt;/key&gt;&lt;/foreign-keys&gt;&lt;ref-type name="Journal Article"&gt;17&lt;/ref-type&gt;&lt;contributors&gt;&lt;authors&gt;&lt;author&gt;Lange, Karen I&lt;/author&gt;&lt;author&gt;Heinrichs, Jeffrey&lt;/author&gt;&lt;author&gt;Cheung, Karen&lt;/author&gt;&lt;author&gt;Srayko, Martin&lt;/author&gt;&lt;/authors&gt;&lt;/contributors&gt;&lt;titles&gt;&lt;title&gt;&lt;style face="normal" font="default" size="100%"&gt;Suppressor mutations identify amino acids in PAA-1/PR65 that facilitate regulatory RSA-1/B″ subunit targeting of PP2A to centrosomes in &lt;/style&gt;&lt;style face="italic" font="default" size="100%"&gt;C. elegans&lt;/style&gt;&lt;/title&gt;&lt;secondary-title&gt;Biology open&lt;/secondary-title&gt;&lt;/titles&gt;&lt;periodical&gt;&lt;full-title&gt;Biology open&lt;/full-title&gt;&lt;abbr-1&gt;Biol Open&lt;/abbr-1&gt;&lt;/periodical&gt;&lt;pages&gt;BIO20122956&lt;/pages&gt;&lt;dates&gt;&lt;year&gt;2012&lt;/year&gt;&lt;/dates&gt;&lt;isbn&gt;2046-6390&lt;/isbn&gt;&lt;urls&gt;&lt;/urls&gt;&lt;/record&gt;&lt;/Cite&gt;&lt;/EndNote&gt;</w:instrTex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7F74EE">
              <w:rPr>
                <w:noProof/>
                <w:color w:val="000000" w:themeColor="text1"/>
                <w:sz w:val="20"/>
                <w:szCs w:val="20"/>
              </w:rPr>
              <w:t>(Lange et al., 2012)</w: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66775" w:rsidRPr="007F74EE" w14:paraId="1FF9A0A4" w14:textId="77777777" w:rsidTr="00E6641A">
        <w:tc>
          <w:tcPr>
            <w:tcW w:w="988" w:type="dxa"/>
          </w:tcPr>
          <w:p w14:paraId="45ABAA6B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MAS231</w:t>
            </w:r>
          </w:p>
        </w:tc>
        <w:tc>
          <w:tcPr>
            <w:tcW w:w="5811" w:type="dxa"/>
          </w:tcPr>
          <w:p w14:paraId="65B5B1D2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ska-1(abc17) I</w:t>
            </w:r>
          </w:p>
        </w:tc>
        <w:tc>
          <w:tcPr>
            <w:tcW w:w="2551" w:type="dxa"/>
          </w:tcPr>
          <w:p w14:paraId="0673B529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6E21590C" w14:textId="77777777" w:rsidTr="00E6641A">
        <w:tc>
          <w:tcPr>
            <w:tcW w:w="988" w:type="dxa"/>
          </w:tcPr>
          <w:p w14:paraId="469476A4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MAS235</w:t>
            </w:r>
          </w:p>
        </w:tc>
        <w:tc>
          <w:tcPr>
            <w:tcW w:w="5811" w:type="dxa"/>
          </w:tcPr>
          <w:p w14:paraId="48983ADC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ska-1(abc25) I</w:t>
            </w:r>
          </w:p>
        </w:tc>
        <w:tc>
          <w:tcPr>
            <w:tcW w:w="2551" w:type="dxa"/>
          </w:tcPr>
          <w:p w14:paraId="1316D621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1FECDD74" w14:textId="77777777" w:rsidTr="00E6641A">
        <w:trPr>
          <w:trHeight w:val="170"/>
        </w:trPr>
        <w:tc>
          <w:tcPr>
            <w:tcW w:w="988" w:type="dxa"/>
          </w:tcPr>
          <w:p w14:paraId="10620FE2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MAS293</w:t>
            </w:r>
          </w:p>
        </w:tc>
        <w:tc>
          <w:tcPr>
            <w:tcW w:w="5811" w:type="dxa"/>
          </w:tcPr>
          <w:p w14:paraId="1D080195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I; ska-3(abc60) III</w:t>
            </w:r>
          </w:p>
        </w:tc>
        <w:tc>
          <w:tcPr>
            <w:tcW w:w="2551" w:type="dxa"/>
          </w:tcPr>
          <w:p w14:paraId="5731789C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1AF9B486" w14:textId="77777777" w:rsidTr="00E6641A">
        <w:trPr>
          <w:trHeight w:val="170"/>
        </w:trPr>
        <w:tc>
          <w:tcPr>
            <w:tcW w:w="988" w:type="dxa"/>
          </w:tcPr>
          <w:p w14:paraId="5CF86A61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MAS23</w:t>
            </w:r>
          </w:p>
        </w:tc>
        <w:tc>
          <w:tcPr>
            <w:tcW w:w="5811" w:type="dxa"/>
          </w:tcPr>
          <w:p w14:paraId="4115F0C4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dpy-5(e61) rsa-1(or598) </w:t>
            </w:r>
            <w:r w:rsidRPr="007F74EE">
              <w:rPr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2551" w:type="dxa"/>
          </w:tcPr>
          <w:p w14:paraId="01C26DC4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03967B79" w14:textId="77777777" w:rsidTr="00E6641A">
        <w:trPr>
          <w:trHeight w:val="170"/>
        </w:trPr>
        <w:tc>
          <w:tcPr>
            <w:tcW w:w="988" w:type="dxa"/>
          </w:tcPr>
          <w:p w14:paraId="788F349F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MAS40</w:t>
            </w:r>
          </w:p>
        </w:tc>
        <w:tc>
          <w:tcPr>
            <w:tcW w:w="5811" w:type="dxa"/>
          </w:tcPr>
          <w:p w14:paraId="28E2B498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rsa-1(or598) </w:t>
            </w:r>
            <w:r w:rsidRPr="007F74EE">
              <w:rPr>
                <w:color w:val="000000" w:themeColor="text1"/>
                <w:sz w:val="20"/>
                <w:szCs w:val="20"/>
              </w:rPr>
              <w:t xml:space="preserve">I; 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bli-2(e768) </w:t>
            </w:r>
            <w:r w:rsidRPr="007F74EE">
              <w:rPr>
                <w:color w:val="000000" w:themeColor="text1"/>
                <w:sz w:val="20"/>
                <w:szCs w:val="20"/>
              </w:rPr>
              <w:t xml:space="preserve">II; 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unc-32(e189) </w:t>
            </w:r>
            <w:r w:rsidRPr="007F74EE">
              <w:rPr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2551" w:type="dxa"/>
          </w:tcPr>
          <w:p w14:paraId="1C36F660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34E96E3B" w14:textId="77777777" w:rsidTr="00E6641A">
        <w:trPr>
          <w:trHeight w:val="170"/>
        </w:trPr>
        <w:tc>
          <w:tcPr>
            <w:tcW w:w="988" w:type="dxa"/>
          </w:tcPr>
          <w:p w14:paraId="3F0B8615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MAS24</w:t>
            </w:r>
          </w:p>
        </w:tc>
        <w:tc>
          <w:tcPr>
            <w:tcW w:w="5811" w:type="dxa"/>
          </w:tcPr>
          <w:p w14:paraId="3823A527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rsa-1(or598) </w:t>
            </w:r>
            <w:r w:rsidRPr="007F74EE">
              <w:rPr>
                <w:color w:val="000000" w:themeColor="text1"/>
                <w:sz w:val="20"/>
                <w:szCs w:val="20"/>
              </w:rPr>
              <w:t xml:space="preserve">I; 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unc-5(e53) </w:t>
            </w:r>
            <w:r w:rsidRPr="007F74EE">
              <w:rPr>
                <w:color w:val="000000" w:themeColor="text1"/>
                <w:sz w:val="20"/>
                <w:szCs w:val="20"/>
              </w:rPr>
              <w:t xml:space="preserve">IV; 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dpy-11(e244) </w:t>
            </w:r>
            <w:r w:rsidRPr="007F74EE">
              <w:rPr>
                <w:color w:val="000000" w:themeColor="text1"/>
                <w:sz w:val="20"/>
                <w:szCs w:val="20"/>
              </w:rPr>
              <w:t xml:space="preserve">V; 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lon-2(e678) </w:t>
            </w:r>
            <w:r w:rsidRPr="007F74E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551" w:type="dxa"/>
          </w:tcPr>
          <w:p w14:paraId="4A83949F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059927D3" w14:textId="77777777" w:rsidTr="00E6641A">
        <w:trPr>
          <w:trHeight w:val="170"/>
        </w:trPr>
        <w:tc>
          <w:tcPr>
            <w:tcW w:w="988" w:type="dxa"/>
          </w:tcPr>
          <w:p w14:paraId="7A36986F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MAS274</w:t>
            </w:r>
          </w:p>
        </w:tc>
        <w:tc>
          <w:tcPr>
            <w:tcW w:w="5811" w:type="dxa"/>
          </w:tcPr>
          <w:p w14:paraId="1B82D3B6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rsa-1(or598) </w:t>
            </w:r>
            <w:r w:rsidRPr="007F74EE">
              <w:rPr>
                <w:color w:val="000000" w:themeColor="text1"/>
                <w:sz w:val="20"/>
                <w:szCs w:val="20"/>
              </w:rPr>
              <w:t xml:space="preserve">I; 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 xml:space="preserve">dpy-1(e1) unc-119(ed3) </w:t>
            </w:r>
            <w:r w:rsidRPr="007F74EE">
              <w:rPr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2551" w:type="dxa"/>
          </w:tcPr>
          <w:p w14:paraId="0500AA7D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08EAC161" w14:textId="77777777" w:rsidTr="00E6641A">
        <w:tc>
          <w:tcPr>
            <w:tcW w:w="988" w:type="dxa"/>
          </w:tcPr>
          <w:p w14:paraId="5F9975C9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TH32</w:t>
            </w:r>
          </w:p>
        </w:tc>
        <w:tc>
          <w:tcPr>
            <w:tcW w:w="5811" w:type="dxa"/>
          </w:tcPr>
          <w:p w14:paraId="1D487956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unc-119(ed3) ruIs32[unc-119(+), pie-1p::</w:t>
            </w:r>
            <w:r>
              <w:rPr>
                <w:i/>
                <w:color w:val="000000" w:themeColor="text1"/>
                <w:sz w:val="20"/>
                <w:szCs w:val="20"/>
              </w:rPr>
              <w:t>gfp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>::his-11] III; ddIs6[unc-119(+), pie-1p::</w:t>
            </w:r>
            <w:r>
              <w:rPr>
                <w:i/>
                <w:color w:val="000000" w:themeColor="text1"/>
                <w:sz w:val="20"/>
                <w:szCs w:val="20"/>
              </w:rPr>
              <w:t>gfp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>::tbg-1] V</w:t>
            </w:r>
          </w:p>
        </w:tc>
        <w:tc>
          <w:tcPr>
            <w:tcW w:w="2551" w:type="dxa"/>
          </w:tcPr>
          <w:p w14:paraId="00639F81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7F74EE">
              <w:rPr>
                <w:color w:val="000000" w:themeColor="text1"/>
                <w:sz w:val="20"/>
                <w:szCs w:val="20"/>
              </w:rPr>
              <w:instrText xml:space="preserve"> ADDIN EN.CITE &lt;EndNote&gt;&lt;Cite&gt;&lt;Author&gt;Oegema&lt;/Author&gt;&lt;Year&gt;2001&lt;/Year&gt;&lt;RecNum&gt;121&lt;/RecNum&gt;&lt;DisplayText&gt;(Oegema et al., 2001)&lt;/DisplayText&gt;&lt;record&gt;&lt;rec-number&gt;121&lt;/rec-number&gt;&lt;foreign-keys&gt;&lt;key app="EN" db-id="a2pdsp2fas5svcedfps5d5rz52s92z9esavv" timestamp="1467056760"&gt;121&lt;/key&gt;&lt;/foreign-keys&gt;&lt;ref-type name="Journal Article"&gt;17&lt;/ref-type&gt;&lt;contributors&gt;&lt;authors&gt;&lt;author&gt;Oegema, Karen&lt;/author&gt;&lt;author&gt;Desai, Arshad&lt;/author&gt;&lt;author&gt;Rybina, Sonja&lt;/author&gt;&lt;author&gt;Kirkham, Matthew&lt;/author&gt;&lt;author&gt;Hyman, Anthony A.&lt;/author&gt;&lt;/authors&gt;&lt;/contributors&gt;&lt;titles&gt;&lt;title&gt;&lt;style face="normal" font="default" size="100%"&gt;Functional analysis of kinetochore assembly in &lt;/style&gt;&lt;style face="italic" font="default" size="100%"&gt;Caenorhabditis elegans&lt;/style&gt;&lt;/title&gt;&lt;secondary-title&gt;The Journal of Cell Biology&lt;/secondary-title&gt;&lt;/titles&gt;&lt;periodical&gt;&lt;full-title&gt;The Journal of cell biology&lt;/full-title&gt;&lt;abbr-1&gt;J Cell Biol&lt;/abbr-1&gt;&lt;/periodical&gt;&lt;pages&gt;1209-1226&lt;/pages&gt;&lt;volume&gt;153&lt;/volume&gt;&lt;number&gt;6&lt;/number&gt;&lt;dates&gt;&lt;year&gt;2001&lt;/year&gt;&lt;pub-dates&gt;&lt;date&gt;June 11, 2001&lt;/date&gt;&lt;/pub-dates&gt;&lt;/dates&gt;&lt;urls&gt;&lt;related-urls&gt;&lt;url&gt;http://jcb.rupress.org/content/153/6/1209.abstract&lt;/url&gt;&lt;/related-urls&gt;&lt;/urls&gt;&lt;electronic-resource-num&gt;10.1083/jcb.153.6.1209&lt;/electronic-resource-num&gt;&lt;/record&gt;&lt;/Cite&gt;&lt;/EndNote&gt;</w:instrTex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7F74EE">
              <w:rPr>
                <w:noProof/>
                <w:color w:val="000000" w:themeColor="text1"/>
                <w:sz w:val="20"/>
                <w:szCs w:val="20"/>
              </w:rPr>
              <w:t>(Oegema et al., 2001)</w: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66775" w:rsidRPr="007F74EE" w14:paraId="53AB675D" w14:textId="77777777" w:rsidTr="00E6641A">
        <w:tc>
          <w:tcPr>
            <w:tcW w:w="988" w:type="dxa"/>
          </w:tcPr>
          <w:p w14:paraId="31094B7B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EU1395</w:t>
            </w:r>
          </w:p>
        </w:tc>
        <w:tc>
          <w:tcPr>
            <w:tcW w:w="5811" w:type="dxa"/>
          </w:tcPr>
          <w:p w14:paraId="4CA17A1A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I; ruIs32 III; ddIs6 V</w:t>
            </w:r>
          </w:p>
        </w:tc>
        <w:tc>
          <w:tcPr>
            <w:tcW w:w="2551" w:type="dxa"/>
          </w:tcPr>
          <w:p w14:paraId="69D60C86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7F74EE">
              <w:rPr>
                <w:color w:val="000000" w:themeColor="text1"/>
                <w:sz w:val="20"/>
                <w:szCs w:val="20"/>
              </w:rPr>
              <w:instrText xml:space="preserve"> ADDIN EN.CITE &lt;EndNote&gt;&lt;Cite&gt;&lt;Author&gt;O&amp;apos;Rourke&lt;/Author&gt;&lt;Year&gt;2011&lt;/Year&gt;&lt;RecNum&gt;2&lt;/RecNum&gt;&lt;DisplayText&gt;(O&amp;apos;Rourke et al., 2011)&lt;/DisplayText&gt;&lt;record&gt;&lt;rec-number&gt;2&lt;/rec-number&gt;&lt;foreign-keys&gt;&lt;key app="EN" db-id="a2pdsp2fas5svcedfps5d5rz52s92z9esavv" timestamp="1459225101"&gt;2&lt;/key&gt;&lt;/foreign-keys&gt;&lt;ref-type name="Journal Article"&gt;17&lt;/ref-type&gt;&lt;contributors&gt;&lt;authors&gt;&lt;author&gt;O&amp;apos;Rourke, Sean M&lt;/author&gt;&lt;author&gt;Carter, Clayton&lt;/author&gt;&lt;author&gt;Carter, Luke&lt;/author&gt;&lt;author&gt;Christensen, Sara N&lt;/author&gt;&lt;author&gt;Jones, Minh P&lt;/author&gt;&lt;author&gt;Nash, Bruce&lt;/author&gt;&lt;author&gt;Price, Meredith H&lt;/author&gt;&lt;author&gt;Turnbull, Douglas W&lt;/author&gt;&lt;author&gt;Garner, Aleena R&lt;/author&gt;&lt;author&gt;Hamill, Danielle R&lt;/author&gt;&lt;/authors&gt;&lt;/contributors&gt;&lt;titles&gt;&lt;title&gt;&lt;style face="normal" font="default" size="100%"&gt;A survey of new temperature-sensitive, embryonic-lethal mutations in&lt;/style&gt;&lt;style face="italic" font="default" size="100%"&gt; C. elegan&lt;/style&gt;&lt;style face="normal" font="default" size="100%"&gt;s: 24 alleles of thirteen genes&lt;/style&gt;&lt;/title&gt;&lt;secondary-title&gt;PLoS One&lt;/secondary-title&gt;&lt;/titles&gt;&lt;periodical&gt;&lt;full-title&gt;PLoS One&lt;/full-title&gt;&lt;/periodical&gt;&lt;pages&gt;e16644&lt;/pages&gt;&lt;volume&gt;6&lt;/volume&gt;&lt;number&gt;3&lt;/number&gt;&lt;dates&gt;&lt;year&gt;2011&lt;/year&gt;&lt;/dates&gt;&lt;isbn&gt;1932-6203&lt;/isbn&gt;&lt;urls&gt;&lt;related-urls&gt;&lt;url&gt;http://www.ncbi.nlm.nih.gov/pmc/articles/PMC3046959/pdf/pone.0016644.pdf&lt;/url&gt;&lt;/related-urls&gt;&lt;/urls&gt;&lt;/record&gt;&lt;/Cite&gt;&lt;/EndNote&gt;</w:instrTex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7F74EE">
              <w:rPr>
                <w:noProof/>
                <w:color w:val="000000" w:themeColor="text1"/>
                <w:sz w:val="20"/>
                <w:szCs w:val="20"/>
              </w:rPr>
              <w:t>(O'Rourke et al., 2011)</w: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66775" w:rsidRPr="007F74EE" w14:paraId="5D314D15" w14:textId="77777777" w:rsidTr="00E6641A">
        <w:tc>
          <w:tcPr>
            <w:tcW w:w="988" w:type="dxa"/>
          </w:tcPr>
          <w:p w14:paraId="71A95032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MAS287</w:t>
            </w:r>
          </w:p>
        </w:tc>
        <w:tc>
          <w:tcPr>
            <w:tcW w:w="5811" w:type="dxa"/>
          </w:tcPr>
          <w:p w14:paraId="07768035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ska-1(abc17) I; ruIs32 III; ddIs6 V</w:t>
            </w:r>
          </w:p>
        </w:tc>
        <w:tc>
          <w:tcPr>
            <w:tcW w:w="2551" w:type="dxa"/>
          </w:tcPr>
          <w:p w14:paraId="68213669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4B63F80C" w14:textId="77777777" w:rsidTr="00E6641A">
        <w:tc>
          <w:tcPr>
            <w:tcW w:w="988" w:type="dxa"/>
          </w:tcPr>
          <w:p w14:paraId="476710E5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MAS286</w:t>
            </w:r>
          </w:p>
        </w:tc>
        <w:tc>
          <w:tcPr>
            <w:tcW w:w="5811" w:type="dxa"/>
          </w:tcPr>
          <w:p w14:paraId="57FFFB1B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ska-1(abc25) I; ruIs32 III; ddIs6 V</w:t>
            </w:r>
          </w:p>
        </w:tc>
        <w:tc>
          <w:tcPr>
            <w:tcW w:w="2551" w:type="dxa"/>
          </w:tcPr>
          <w:p w14:paraId="12511374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0605CC2F" w14:textId="77777777" w:rsidTr="00E6641A">
        <w:tc>
          <w:tcPr>
            <w:tcW w:w="988" w:type="dxa"/>
          </w:tcPr>
          <w:p w14:paraId="552FB2F5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MAS299</w:t>
            </w:r>
          </w:p>
        </w:tc>
        <w:tc>
          <w:tcPr>
            <w:tcW w:w="5811" w:type="dxa"/>
          </w:tcPr>
          <w:p w14:paraId="21F14F9A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ska-3(abc60) III; ddIs6 V</w:t>
            </w:r>
          </w:p>
        </w:tc>
        <w:tc>
          <w:tcPr>
            <w:tcW w:w="2551" w:type="dxa"/>
          </w:tcPr>
          <w:p w14:paraId="41877E51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5BDD321F" w14:textId="77777777" w:rsidTr="00E6641A">
        <w:tc>
          <w:tcPr>
            <w:tcW w:w="988" w:type="dxa"/>
          </w:tcPr>
          <w:p w14:paraId="2776E9FD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MAS314</w:t>
            </w:r>
          </w:p>
        </w:tc>
        <w:tc>
          <w:tcPr>
            <w:tcW w:w="5811" w:type="dxa"/>
          </w:tcPr>
          <w:p w14:paraId="17FB4A42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ltIs37[(pAA64) pie-1p::mCherry::his-58 + unc-119(+)] IV; ddIs6 V</w:t>
            </w:r>
          </w:p>
        </w:tc>
        <w:tc>
          <w:tcPr>
            <w:tcW w:w="2551" w:type="dxa"/>
          </w:tcPr>
          <w:p w14:paraId="1E5C740F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063EC423" w14:textId="77777777" w:rsidTr="00E6641A">
        <w:tc>
          <w:tcPr>
            <w:tcW w:w="988" w:type="dxa"/>
          </w:tcPr>
          <w:p w14:paraId="4FD8C4D3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MAS300</w:t>
            </w:r>
          </w:p>
        </w:tc>
        <w:tc>
          <w:tcPr>
            <w:tcW w:w="5811" w:type="dxa"/>
          </w:tcPr>
          <w:p w14:paraId="4A03AC44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I; ska-3(abc60) III; ltIs37 IV; ddIs6 V</w:t>
            </w:r>
          </w:p>
        </w:tc>
        <w:tc>
          <w:tcPr>
            <w:tcW w:w="2551" w:type="dxa"/>
          </w:tcPr>
          <w:p w14:paraId="09F48FD6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768D0015" w14:textId="77777777" w:rsidTr="00E6641A">
        <w:tc>
          <w:tcPr>
            <w:tcW w:w="988" w:type="dxa"/>
          </w:tcPr>
          <w:p w14:paraId="30F71974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MAS311</w:t>
            </w:r>
          </w:p>
        </w:tc>
        <w:tc>
          <w:tcPr>
            <w:tcW w:w="5811" w:type="dxa"/>
          </w:tcPr>
          <w:p w14:paraId="12984D76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ska-3(abc60) III; ltIs37 IV; ddIs6 V</w:t>
            </w:r>
          </w:p>
        </w:tc>
        <w:tc>
          <w:tcPr>
            <w:tcW w:w="2551" w:type="dxa"/>
          </w:tcPr>
          <w:p w14:paraId="77E064EE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30F5A3CC" w14:textId="77777777" w:rsidTr="00E6641A">
        <w:tc>
          <w:tcPr>
            <w:tcW w:w="988" w:type="dxa"/>
          </w:tcPr>
          <w:p w14:paraId="1A492F20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MAS91</w:t>
            </w:r>
          </w:p>
        </w:tc>
        <w:tc>
          <w:tcPr>
            <w:tcW w:w="5811" w:type="dxa"/>
          </w:tcPr>
          <w:p w14:paraId="04A19E18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ltIs37 IV</w:t>
            </w:r>
            <w:r>
              <w:rPr>
                <w:i/>
                <w:color w:val="000000" w:themeColor="text1"/>
                <w:sz w:val="20"/>
                <w:szCs w:val="20"/>
              </w:rPr>
              <w:t>; ruIs57</w:t>
            </w:r>
            <w:r w:rsidRPr="0071686F">
              <w:rPr>
                <w:i/>
                <w:color w:val="000000" w:themeColor="text1"/>
                <w:sz w:val="20"/>
                <w:szCs w:val="20"/>
              </w:rPr>
              <w:t xml:space="preserve"> [pie-1p::GFP::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tbb-2, </w:t>
            </w:r>
            <w:r w:rsidRPr="0071686F">
              <w:rPr>
                <w:i/>
                <w:color w:val="000000" w:themeColor="text1"/>
                <w:sz w:val="20"/>
                <w:szCs w:val="20"/>
              </w:rPr>
              <w:t xml:space="preserve"> unc-119(+)]</w:t>
            </w:r>
          </w:p>
        </w:tc>
        <w:tc>
          <w:tcPr>
            <w:tcW w:w="2551" w:type="dxa"/>
          </w:tcPr>
          <w:p w14:paraId="473AAC6D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7F74EE">
              <w:rPr>
                <w:color w:val="000000" w:themeColor="text1"/>
                <w:sz w:val="20"/>
                <w:szCs w:val="20"/>
              </w:rPr>
              <w:instrText xml:space="preserve"> ADDIN EN.CITE &lt;EndNote&gt;&lt;Cite&gt;&lt;Author&gt;Bajaj&lt;/Author&gt;&lt;Year&gt;2013&lt;/Year&gt;&lt;RecNum&gt;16&lt;/RecNum&gt;&lt;DisplayText&gt;(Bajaj and Srayko, 2013)&lt;/DisplayText&gt;&lt;record&gt;&lt;rec-number&gt;16&lt;/rec-number&gt;&lt;foreign-keys&gt;&lt;key app="EN" db-id="a2pdsp2fas5svcedfps5d5rz52s92z9esavv" timestamp="1459267531"&gt;16&lt;/key&gt;&lt;/foreign-keys&gt;&lt;ref-type name="Journal Article"&gt;17&lt;/ref-type&gt;&lt;contributors&gt;&lt;authors&gt;&lt;author&gt;Bajaj, Megha&lt;/author&gt;&lt;author&gt;Srayko, Martin&lt;/author&gt;&lt;/authors&gt;&lt;/contributors&gt;&lt;titles&gt;&lt;title&gt;&lt;style face="normal" font="default" size="100%"&gt;Laulimalide induces dose-dependent modulation of microtubule behaviour in the&lt;/style&gt;&lt;style face="italic" font="default" size="100%"&gt; C. elegan&lt;/style&gt;&lt;style face="normal" font="default" size="100%"&gt;s embryo&lt;/style&gt;&lt;/title&gt;&lt;secondary-title&gt;PloS one&lt;/secondary-title&gt;&lt;alt-title&gt;PLoS ONE&lt;/alt-title&gt;&lt;/titles&gt;&lt;periodical&gt;&lt;full-title&gt;PLoS One&lt;/full-title&gt;&lt;/periodical&gt;&lt;alt-periodical&gt;&lt;full-title&gt;PLoS One&lt;/full-title&gt;&lt;/alt-periodical&gt;&lt;pages&gt;e71889&lt;/pages&gt;&lt;volume&gt;8&lt;/volume&gt;&lt;number&gt;8&lt;/number&gt;&lt;dates&gt;&lt;year&gt;2013&lt;/year&gt;&lt;/dates&gt;&lt;isbn&gt;1932-6203&lt;/isbn&gt;&lt;urls&gt;&lt;/urls&gt;&lt;/record&gt;&lt;/Cite&gt;&lt;/EndNote&gt;</w:instrTex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7F74EE">
              <w:rPr>
                <w:noProof/>
                <w:color w:val="000000" w:themeColor="text1"/>
                <w:sz w:val="20"/>
                <w:szCs w:val="20"/>
              </w:rPr>
              <w:t>(Bajaj and Srayko, 2013)</w: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66775" w:rsidRPr="007F74EE" w14:paraId="72C9857F" w14:textId="77777777" w:rsidTr="00E6641A">
        <w:tc>
          <w:tcPr>
            <w:tcW w:w="988" w:type="dxa"/>
          </w:tcPr>
          <w:p w14:paraId="5A99868D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MAS136</w:t>
            </w:r>
          </w:p>
        </w:tc>
        <w:tc>
          <w:tcPr>
            <w:tcW w:w="5811" w:type="dxa"/>
          </w:tcPr>
          <w:p w14:paraId="4ECBA6F7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I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>ltIs37 IV</w:t>
            </w:r>
            <w:r>
              <w:rPr>
                <w:i/>
                <w:color w:val="000000" w:themeColor="text1"/>
                <w:sz w:val="20"/>
                <w:szCs w:val="20"/>
              </w:rPr>
              <w:t>; ruIs57</w:t>
            </w:r>
          </w:p>
        </w:tc>
        <w:tc>
          <w:tcPr>
            <w:tcW w:w="2551" w:type="dxa"/>
          </w:tcPr>
          <w:p w14:paraId="75D1201A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67B14093" w14:textId="77777777" w:rsidTr="00E6641A">
        <w:tc>
          <w:tcPr>
            <w:tcW w:w="988" w:type="dxa"/>
          </w:tcPr>
          <w:p w14:paraId="38134350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MAS253</w:t>
            </w:r>
          </w:p>
        </w:tc>
        <w:tc>
          <w:tcPr>
            <w:tcW w:w="5811" w:type="dxa"/>
          </w:tcPr>
          <w:p w14:paraId="560A165F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ska-1(abc17) I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>ltIs37 IV</w:t>
            </w:r>
            <w:r>
              <w:rPr>
                <w:i/>
                <w:color w:val="000000" w:themeColor="text1"/>
                <w:sz w:val="20"/>
                <w:szCs w:val="20"/>
              </w:rPr>
              <w:t>; ruIs57</w:t>
            </w:r>
          </w:p>
        </w:tc>
        <w:tc>
          <w:tcPr>
            <w:tcW w:w="2551" w:type="dxa"/>
          </w:tcPr>
          <w:p w14:paraId="5C093132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4DAC834E" w14:textId="77777777" w:rsidTr="00E6641A">
        <w:tc>
          <w:tcPr>
            <w:tcW w:w="988" w:type="dxa"/>
          </w:tcPr>
          <w:p w14:paraId="16073972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MAS248</w:t>
            </w:r>
          </w:p>
        </w:tc>
        <w:tc>
          <w:tcPr>
            <w:tcW w:w="5811" w:type="dxa"/>
          </w:tcPr>
          <w:p w14:paraId="2E338F6D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ska-1(abc25) I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>ltIs37 IV</w:t>
            </w:r>
            <w:r>
              <w:rPr>
                <w:i/>
                <w:color w:val="000000" w:themeColor="text1"/>
                <w:sz w:val="20"/>
                <w:szCs w:val="20"/>
              </w:rPr>
              <w:t>; ruIs57</w:t>
            </w:r>
          </w:p>
        </w:tc>
        <w:tc>
          <w:tcPr>
            <w:tcW w:w="2551" w:type="dxa"/>
          </w:tcPr>
          <w:p w14:paraId="0B12073E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1D921787" w14:textId="77777777" w:rsidTr="00E6641A">
        <w:tc>
          <w:tcPr>
            <w:tcW w:w="988" w:type="dxa"/>
          </w:tcPr>
          <w:p w14:paraId="6E362080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MAS263</w:t>
            </w:r>
          </w:p>
        </w:tc>
        <w:tc>
          <w:tcPr>
            <w:tcW w:w="5811" w:type="dxa"/>
          </w:tcPr>
          <w:p w14:paraId="2D89AE2F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I; ska-3(abc60) III; ltIs37 IV</w:t>
            </w:r>
            <w:r>
              <w:rPr>
                <w:i/>
                <w:color w:val="000000" w:themeColor="text1"/>
                <w:sz w:val="20"/>
                <w:szCs w:val="20"/>
              </w:rPr>
              <w:t>; ruIs57</w:t>
            </w:r>
          </w:p>
        </w:tc>
        <w:tc>
          <w:tcPr>
            <w:tcW w:w="2551" w:type="dxa"/>
          </w:tcPr>
          <w:p w14:paraId="15EC1945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08F6F7B3" w14:textId="77777777" w:rsidTr="00E6641A">
        <w:tc>
          <w:tcPr>
            <w:tcW w:w="988" w:type="dxa"/>
          </w:tcPr>
          <w:p w14:paraId="089D5702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TH53</w:t>
            </w:r>
          </w:p>
        </w:tc>
        <w:tc>
          <w:tcPr>
            <w:tcW w:w="5811" w:type="dxa"/>
          </w:tcPr>
          <w:p w14:paraId="171FADB6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unc-119(ed3) III; ddIs12[unc-119(+), pie-1p::tpxl-1::</w:t>
            </w:r>
            <w:r>
              <w:rPr>
                <w:i/>
                <w:color w:val="000000" w:themeColor="text1"/>
                <w:sz w:val="20"/>
                <w:szCs w:val="20"/>
              </w:rPr>
              <w:t>gfp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2551" w:type="dxa"/>
          </w:tcPr>
          <w:p w14:paraId="3557EB9F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7F74EE">
              <w:rPr>
                <w:color w:val="000000" w:themeColor="text1"/>
                <w:sz w:val="20"/>
                <w:szCs w:val="20"/>
              </w:rPr>
              <w:instrText xml:space="preserve"> ADDIN EN.CITE &lt;EndNote&gt;&lt;Cite&gt;&lt;Author&gt;Hannak&lt;/Author&gt;&lt;Year&gt;2002&lt;/Year&gt;&lt;RecNum&gt;23&lt;/RecNum&gt;&lt;DisplayText&gt;(Hannak et al., 2002)&lt;/DisplayText&gt;&lt;record&gt;&lt;rec-number&gt;23&lt;/rec-number&gt;&lt;foreign-keys&gt;&lt;key app="EN" db-id="a2pdsp2fas5svcedfps5d5rz52s92z9esavv" timestamp="1459268348"&gt;23&lt;/key&gt;&lt;/foreign-keys&gt;&lt;ref-type name="Journal Article"&gt;17&lt;/ref-type&gt;&lt;contributors&gt;&lt;authors&gt;&lt;author&gt;Hannak, Eva&lt;/author&gt;&lt;author&gt;Oegema, Karen&lt;/author&gt;&lt;author&gt;Kirkham, Matthew&lt;/author&gt;&lt;author&gt;Gönczy, Pierre&lt;/author&gt;&lt;author&gt;Habermann, Bianca&lt;/author&gt;&lt;author&gt;Hyman, Anthony A&lt;/author&gt;&lt;/authors&gt;&lt;/contributors&gt;&lt;titles&gt;&lt;title&gt;&lt;style face="normal" font="default" size="100%"&gt;The kinetically dominant assembly pathway for centrosomal asters in &lt;/style&gt;&lt;style face="italic" font="default" size="100%"&gt;Caenorhabditis elegans&lt;/style&gt;&lt;style face="normal" font="default" size="100%"&gt; is γ-tubulin dependent&lt;/style&gt;&lt;/title&gt;&lt;secondary-title&gt;The Journal of cell biology&lt;/secondary-title&gt;&lt;/titles&gt;&lt;periodical&gt;&lt;full-title&gt;The Journal of cell biology&lt;/full-title&gt;&lt;abbr-1&gt;J Cell Biol&lt;/abbr-1&gt;&lt;/periodical&gt;&lt;pages&gt;591-602&lt;/pages&gt;&lt;volume&gt;157&lt;/volume&gt;&lt;number&gt;4&lt;/number&gt;&lt;keywords&gt;&lt;keyword&gt;C. elegans, tbg-1, gamma tubulin, gip-1, gip-2, zyg-9&lt;/keyword&gt;&lt;/keywords&gt;&lt;dates&gt;&lt;year&gt;2002&lt;/year&gt;&lt;/dates&gt;&lt;isbn&gt;0021-9525&lt;/isbn&gt;&lt;urls&gt;&lt;related-urls&gt;&lt;url&gt;http://jcb.rupress.org/content/157/4/591.full.pdf&lt;/url&gt;&lt;/related-urls&gt;&lt;/urls&gt;&lt;/record&gt;&lt;/Cite&gt;&lt;/EndNote&gt;</w:instrTex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7F74EE">
              <w:rPr>
                <w:noProof/>
                <w:color w:val="000000" w:themeColor="text1"/>
                <w:sz w:val="20"/>
                <w:szCs w:val="20"/>
              </w:rPr>
              <w:t>(Hannak et al., 2002)</w: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66775" w:rsidRPr="007F74EE" w14:paraId="6F0CD68C" w14:textId="77777777" w:rsidTr="00E6641A">
        <w:tc>
          <w:tcPr>
            <w:tcW w:w="988" w:type="dxa"/>
          </w:tcPr>
          <w:p w14:paraId="058945B4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MAS229</w:t>
            </w:r>
          </w:p>
        </w:tc>
        <w:tc>
          <w:tcPr>
            <w:tcW w:w="5811" w:type="dxa"/>
          </w:tcPr>
          <w:p w14:paraId="7E43BC4A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I; ddIs12</w:t>
            </w:r>
          </w:p>
        </w:tc>
        <w:tc>
          <w:tcPr>
            <w:tcW w:w="2551" w:type="dxa"/>
          </w:tcPr>
          <w:p w14:paraId="079B620A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04F8070E" w14:textId="77777777" w:rsidTr="00E6641A">
        <w:tc>
          <w:tcPr>
            <w:tcW w:w="988" w:type="dxa"/>
          </w:tcPr>
          <w:p w14:paraId="5A8FAC8C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MAS15</w:t>
            </w:r>
          </w:p>
        </w:tc>
        <w:tc>
          <w:tcPr>
            <w:tcW w:w="5811" w:type="dxa"/>
          </w:tcPr>
          <w:p w14:paraId="54DB6215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unc-119(ed3) III; abcIs</w:t>
            </w:r>
            <w:r>
              <w:rPr>
                <w:i/>
                <w:color w:val="000000" w:themeColor="text1"/>
                <w:sz w:val="20"/>
                <w:szCs w:val="20"/>
              </w:rPr>
              <w:t>4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>[</w:t>
            </w:r>
            <w:r>
              <w:rPr>
                <w:i/>
                <w:color w:val="000000" w:themeColor="text1"/>
                <w:sz w:val="20"/>
                <w:szCs w:val="20"/>
              </w:rPr>
              <w:t>unc-119(+), pie-1p::klp-7::gfp]</w:t>
            </w:r>
          </w:p>
        </w:tc>
        <w:tc>
          <w:tcPr>
            <w:tcW w:w="2551" w:type="dxa"/>
          </w:tcPr>
          <w:p w14:paraId="7F4E96B1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7F74EE">
              <w:rPr>
                <w:color w:val="000000" w:themeColor="text1"/>
                <w:sz w:val="20"/>
                <w:szCs w:val="20"/>
              </w:rPr>
              <w:instrText xml:space="preserve"> ADDIN EN.CITE &lt;EndNote&gt;&lt;Cite&gt;&lt;Author&gt;Han&lt;/Author&gt;&lt;Year&gt;2015&lt;/Year&gt;&lt;RecNum&gt;27&lt;/RecNum&gt;&lt;DisplayText&gt;(Han et al., 2015)&lt;/DisplayText&gt;&lt;record&gt;&lt;rec-number&gt;27&lt;/rec-number&gt;&lt;foreign-keys&gt;&lt;key app="EN" db-id="a2pdsp2fas5svcedfps5d5rz52s92z9esavv" timestamp="1459268582"&gt;27&lt;/key&gt;&lt;/foreign-keys&gt;&lt;ref-type name="Journal Article"&gt;17&lt;/ref-type&gt;&lt;contributors&gt;&lt;authors&gt;&lt;author&gt;Han, Xue&lt;/author&gt;&lt;author&gt;Adames, Kelly&lt;/author&gt;&lt;author&gt;Sykes, Ellen ME&lt;/author&gt;&lt;author&gt;Srayko, Martin&lt;/author&gt;&lt;/authors&gt;&lt;/contributors&gt;&lt;titles&gt;&lt;title&gt;&lt;style face="normal" font="default" size="100%"&gt;The KLP-7 residue S546 is a putative Aurora kinase site required for microtubule regulation at the centrosome in&lt;/style&gt;&lt;style face="italic" font="default" size="100%"&gt; C. elegans&lt;/style&gt;&lt;/title&gt;&lt;secondary-title&gt;PloS one&lt;/secondary-title&gt;&lt;/titles&gt;&lt;periodical&gt;&lt;full-title&gt;PLoS One&lt;/full-title&gt;&lt;/periodical&gt;&lt;pages&gt;e0132593&lt;/pages&gt;&lt;volume&gt;10&lt;/volume&gt;&lt;number&gt;7&lt;/number&gt;&lt;dates&gt;&lt;year&gt;2015&lt;/year&gt;&lt;/dates&gt;&lt;isbn&gt;1932-6203&lt;/isbn&gt;&lt;urls&gt;&lt;/urls&gt;&lt;/record&gt;&lt;/Cite&gt;&lt;/EndNote&gt;</w:instrTex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7F74EE">
              <w:rPr>
                <w:noProof/>
                <w:color w:val="000000" w:themeColor="text1"/>
                <w:sz w:val="20"/>
                <w:szCs w:val="20"/>
              </w:rPr>
              <w:t>(Han et al., 2015)</w: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66775" w:rsidRPr="007F74EE" w14:paraId="45E8CDC3" w14:textId="77777777" w:rsidTr="00E6641A">
        <w:tc>
          <w:tcPr>
            <w:tcW w:w="988" w:type="dxa"/>
          </w:tcPr>
          <w:p w14:paraId="3A335637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OD650</w:t>
            </w:r>
          </w:p>
        </w:tc>
        <w:tc>
          <w:tcPr>
            <w:tcW w:w="5811" w:type="dxa"/>
          </w:tcPr>
          <w:p w14:paraId="5E7F4350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FB3ACB">
              <w:rPr>
                <w:i/>
                <w:color w:val="000000" w:themeColor="text1"/>
                <w:sz w:val="20"/>
                <w:szCs w:val="20"/>
              </w:rPr>
              <w:t>ltSi428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B3ACB">
              <w:rPr>
                <w:i/>
                <w:color w:val="000000" w:themeColor="text1"/>
                <w:sz w:val="20"/>
                <w:szCs w:val="20"/>
              </w:rPr>
              <w:t>[pDC159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r w:rsidRPr="00FB3ACB">
              <w:rPr>
                <w:i/>
                <w:color w:val="000000" w:themeColor="text1"/>
                <w:sz w:val="20"/>
                <w:szCs w:val="20"/>
              </w:rPr>
              <w:t>ska-1</w:t>
            </w:r>
            <w:r>
              <w:rPr>
                <w:i/>
                <w:color w:val="000000" w:themeColor="text1"/>
                <w:sz w:val="20"/>
                <w:szCs w:val="20"/>
              </w:rPr>
              <w:t>p</w:t>
            </w:r>
            <w:r w:rsidRPr="00FB3ACB">
              <w:rPr>
                <w:i/>
                <w:color w:val="000000" w:themeColor="text1"/>
                <w:sz w:val="20"/>
                <w:szCs w:val="20"/>
              </w:rPr>
              <w:t>:</w:t>
            </w:r>
            <w:r>
              <w:rPr>
                <w:i/>
                <w:color w:val="000000" w:themeColor="text1"/>
                <w:sz w:val="20"/>
                <w:szCs w:val="20"/>
              </w:rPr>
              <w:t>:</w:t>
            </w:r>
            <w:r w:rsidRPr="00FB3ACB">
              <w:rPr>
                <w:i/>
                <w:color w:val="000000" w:themeColor="text1"/>
                <w:sz w:val="20"/>
                <w:szCs w:val="20"/>
              </w:rPr>
              <w:t>ska-1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::gfp, </w:t>
            </w:r>
            <w:r w:rsidRPr="00FB3ACB">
              <w:rPr>
                <w:i/>
                <w:color w:val="000000" w:themeColor="text1"/>
                <w:sz w:val="20"/>
                <w:szCs w:val="20"/>
              </w:rPr>
              <w:t>cb-unc-119(+)]II</w:t>
            </w:r>
            <w:r>
              <w:rPr>
                <w:i/>
                <w:color w:val="000000" w:themeColor="text1"/>
                <w:sz w:val="20"/>
                <w:szCs w:val="20"/>
              </w:rPr>
              <w:t>;</w:t>
            </w:r>
            <w:r w:rsidRPr="00FB3ACB">
              <w:rPr>
                <w:i/>
                <w:color w:val="000000" w:themeColor="text1"/>
                <w:sz w:val="20"/>
                <w:szCs w:val="20"/>
              </w:rPr>
              <w:t xml:space="preserve"> unc-119(ed3)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B3ACB">
              <w:rPr>
                <w:i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2551" w:type="dxa"/>
          </w:tcPr>
          <w:p w14:paraId="53462AE7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fldChar w:fldCharType="begin"/>
            </w:r>
            <w:r>
              <w:rPr>
                <w:color w:val="000000" w:themeColor="text1"/>
                <w:sz w:val="20"/>
                <w:szCs w:val="20"/>
              </w:rPr>
              <w:instrText xml:space="preserve"> ADDIN EN.CITE &lt;EndNote&gt;&lt;Cite&gt;&lt;Author&gt;Cheerambathur&lt;/Author&gt;&lt;Year&gt;2013&lt;/Year&gt;&lt;RecNum&gt;83&lt;/RecNum&gt;&lt;DisplayText&gt;(Cheerambathur et al., 2013)&lt;/DisplayText&gt;&lt;record&gt;&lt;rec-number&gt;83&lt;/rec-number&gt;&lt;foreign-keys&gt;&lt;key app="EN" db-id="a2pdsp2fas5svcedfps5d5rz52s92z9esavv" timestamp="1466526858"&gt;83&lt;/key&gt;&lt;/foreign-keys&gt;&lt;ref-type name="Journal Article"&gt;17&lt;/ref-type&gt;&lt;contributors&gt;&lt;authors&gt;&lt;author&gt;Cheerambathur, Dhanya K.&lt;/author&gt;&lt;author&gt;Gassmann, Reto&lt;/author&gt;&lt;author&gt;Cook, Brian&lt;/author&gt;&lt;author&gt;Oegema, Karen&lt;/author&gt;&lt;author&gt;Desai, Arshad&lt;/author&gt;&lt;/authors&gt;&lt;/contributors&gt;&lt;titles&gt;&lt;title&gt;Crosstalk between microtubule attachment complexes ensures accurate chromosome segregation&lt;/title&gt;&lt;secondary-title&gt;Science&lt;/secondary-title&gt;&lt;/titles&gt;&lt;periodical&gt;&lt;full-title&gt;Science&lt;/full-title&gt;&lt;/periodical&gt;&lt;pages&gt;1239-1242&lt;/pages&gt;&lt;volume&gt;342&lt;/volume&gt;&lt;number&gt;6163&lt;/number&gt;&lt;dates&gt;&lt;year&gt;2013&lt;/year&gt;&lt;pub-dates&gt;&lt;date&gt;2013-12-06 00:00:00&lt;/date&gt;&lt;/pub-dates&gt;&lt;/dates&gt;&lt;urls&gt;&lt;related-urls&gt;&lt;url&gt;http://science.sciencemag.org/content/sci/342/6163/1239.full.pdf&lt;/url&gt;&lt;/related-urls&gt;&lt;/urls&gt;&lt;electronic-resource-num&gt;10.1126/science.1246232&lt;/electronic-resource-num&gt;&lt;/record&gt;&lt;/Cite&gt;&lt;/EndNote&gt;</w:instrText>
            </w:r>
            <w:r>
              <w:rPr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noProof/>
                <w:color w:val="000000" w:themeColor="text1"/>
                <w:sz w:val="20"/>
                <w:szCs w:val="20"/>
              </w:rPr>
              <w:t>(Cheerambathur et al., 2013)</w:t>
            </w:r>
            <w:r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66775" w:rsidRPr="007F74EE" w14:paraId="0911A3AE" w14:textId="77777777" w:rsidTr="00E6641A">
        <w:tc>
          <w:tcPr>
            <w:tcW w:w="988" w:type="dxa"/>
          </w:tcPr>
          <w:p w14:paraId="0F2A969F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MAS304</w:t>
            </w:r>
          </w:p>
        </w:tc>
        <w:tc>
          <w:tcPr>
            <w:tcW w:w="5811" w:type="dxa"/>
          </w:tcPr>
          <w:p w14:paraId="6FE11100" w14:textId="7427E4FD" w:rsidR="00D66775" w:rsidRPr="007F74EE" w:rsidRDefault="00D66775" w:rsidP="00D407FD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rsa-1(or598) I; ltSi428</w:t>
            </w:r>
            <w:r w:rsidR="00D407FD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D407FD" w:rsidRPr="00FB3ACB">
              <w:rPr>
                <w:i/>
                <w:color w:val="000000" w:themeColor="text1"/>
                <w:sz w:val="20"/>
                <w:szCs w:val="20"/>
              </w:rPr>
              <w:t>[pDC159</w:t>
            </w:r>
            <w:r w:rsidR="00D407FD">
              <w:rPr>
                <w:i/>
                <w:color w:val="000000" w:themeColor="text1"/>
                <w:sz w:val="20"/>
                <w:szCs w:val="20"/>
              </w:rPr>
              <w:t xml:space="preserve">, </w:t>
            </w:r>
            <w:r w:rsidR="00D407FD" w:rsidRPr="00FB3ACB">
              <w:rPr>
                <w:i/>
                <w:color w:val="000000" w:themeColor="text1"/>
                <w:sz w:val="20"/>
                <w:szCs w:val="20"/>
              </w:rPr>
              <w:t>ska-1</w:t>
            </w:r>
            <w:r w:rsidR="00D407FD">
              <w:rPr>
                <w:i/>
                <w:color w:val="000000" w:themeColor="text1"/>
                <w:sz w:val="20"/>
                <w:szCs w:val="20"/>
              </w:rPr>
              <w:t>p</w:t>
            </w:r>
            <w:r w:rsidR="00D407FD" w:rsidRPr="00FB3ACB">
              <w:rPr>
                <w:i/>
                <w:color w:val="000000" w:themeColor="text1"/>
                <w:sz w:val="20"/>
                <w:szCs w:val="20"/>
              </w:rPr>
              <w:t>:</w:t>
            </w:r>
            <w:r w:rsidR="00D407FD">
              <w:rPr>
                <w:i/>
                <w:color w:val="000000" w:themeColor="text1"/>
                <w:sz w:val="20"/>
                <w:szCs w:val="20"/>
              </w:rPr>
              <w:t>:</w:t>
            </w:r>
            <w:r w:rsidR="00D407FD" w:rsidRPr="00FB3ACB">
              <w:rPr>
                <w:i/>
                <w:color w:val="000000" w:themeColor="text1"/>
                <w:sz w:val="20"/>
                <w:szCs w:val="20"/>
              </w:rPr>
              <w:t>ska-1</w:t>
            </w:r>
            <w:r w:rsidR="00D407FD">
              <w:rPr>
                <w:i/>
                <w:color w:val="000000" w:themeColor="text1"/>
                <w:sz w:val="20"/>
                <w:szCs w:val="20"/>
              </w:rPr>
              <w:t xml:space="preserve">::gfp, </w:t>
            </w:r>
            <w:r w:rsidR="00D407FD" w:rsidRPr="00FB3ACB">
              <w:rPr>
                <w:i/>
                <w:color w:val="000000" w:themeColor="text1"/>
                <w:sz w:val="20"/>
                <w:szCs w:val="20"/>
              </w:rPr>
              <w:t>cb-unc-119(+)]</w:t>
            </w:r>
            <w:r w:rsidR="00D407FD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F74EE">
              <w:rPr>
                <w:i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2551" w:type="dxa"/>
          </w:tcPr>
          <w:p w14:paraId="28561288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  <w:tr w:rsidR="00D66775" w:rsidRPr="007F74EE" w14:paraId="2C86BE3F" w14:textId="77777777" w:rsidTr="00E6641A">
        <w:tc>
          <w:tcPr>
            <w:tcW w:w="988" w:type="dxa"/>
          </w:tcPr>
          <w:p w14:paraId="04C10D80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OD142</w:t>
            </w:r>
          </w:p>
        </w:tc>
        <w:tc>
          <w:tcPr>
            <w:tcW w:w="5811" w:type="dxa"/>
          </w:tcPr>
          <w:p w14:paraId="7D2F9F51" w14:textId="77777777" w:rsidR="00D66775" w:rsidRPr="006A1F93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unc-119(ed3) III; ltIs</w:t>
            </w:r>
            <w:r>
              <w:rPr>
                <w:i/>
                <w:color w:val="000000" w:themeColor="text1"/>
                <w:sz w:val="20"/>
                <w:szCs w:val="20"/>
              </w:rPr>
              <w:t>78</w:t>
            </w:r>
            <w:r>
              <w:t xml:space="preserve"> </w:t>
            </w:r>
            <w:r w:rsidRPr="006A1F93">
              <w:rPr>
                <w:i/>
                <w:color w:val="000000" w:themeColor="text1"/>
                <w:sz w:val="20"/>
                <w:szCs w:val="20"/>
              </w:rPr>
              <w:t>[(pKO5) pie-1</w:t>
            </w:r>
            <w:r>
              <w:rPr>
                <w:i/>
                <w:color w:val="000000" w:themeColor="text1"/>
                <w:sz w:val="20"/>
                <w:szCs w:val="20"/>
              </w:rPr>
              <w:t>p</w:t>
            </w:r>
            <w:r w:rsidRPr="006A1F93">
              <w:rPr>
                <w:i/>
                <w:color w:val="000000" w:themeColor="text1"/>
                <w:sz w:val="20"/>
                <w:szCs w:val="20"/>
              </w:rPr>
              <w:t>::GFP::TEV::Stag::air-1</w:t>
            </w:r>
          </w:p>
          <w:p w14:paraId="26FFF2FE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6A1F93">
              <w:rPr>
                <w:i/>
                <w:color w:val="000000" w:themeColor="text1"/>
                <w:sz w:val="20"/>
                <w:szCs w:val="20"/>
              </w:rPr>
              <w:t>spliced coding + unc-119(+)]</w:t>
            </w:r>
          </w:p>
        </w:tc>
        <w:tc>
          <w:tcPr>
            <w:tcW w:w="2551" w:type="dxa"/>
          </w:tcPr>
          <w:p w14:paraId="4419CAD2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7F74EE">
              <w:rPr>
                <w:color w:val="000000" w:themeColor="text1"/>
                <w:sz w:val="20"/>
                <w:szCs w:val="20"/>
              </w:rPr>
              <w:instrText xml:space="preserve"> ADDIN EN.CITE &lt;EndNote&gt;&lt;Cite&gt;&lt;Author&gt;Portier&lt;/Author&gt;&lt;Year&gt;2007&lt;/Year&gt;&lt;RecNum&gt;181&lt;/RecNum&gt;&lt;DisplayText&gt;(Portier et al., 2007)&lt;/DisplayText&gt;&lt;record&gt;&lt;rec-number&gt;181&lt;/rec-number&gt;&lt;foreign-keys&gt;&lt;key app="EN" db-id="a2pdsp2fas5svcedfps5d5rz52s92z9esavv" timestamp="1500401977"&gt;181&lt;/key&gt;&lt;/foreign-keys&gt;&lt;ref-type name="Journal Article"&gt;17&lt;/ref-type&gt;&lt;contributors&gt;&lt;authors&gt;&lt;author&gt;Portier, Nathan&lt;/author&gt;&lt;author&gt;Audhya, Anjon&lt;/author&gt;&lt;author&gt;Maddox, Paul S.&lt;/author&gt;&lt;author&gt;Green, Rebecca A.&lt;/author&gt;&lt;author&gt;Dammermann, Alexander&lt;/author&gt;&lt;author&gt;Desai, Arshad&lt;/author&gt;&lt;author&gt;Oegema, Karen&lt;/author&gt;&lt;/authors&gt;&lt;/contributors&gt;&lt;titles&gt;&lt;title&gt;A Microtubule-Independent Role for Centrosomes and Aurora A in Nuclear Envelope Breakdown&lt;/title&gt;&lt;secondary-title&gt;Developmental Cell&lt;/secondary-title&gt;&lt;/titles&gt;&lt;periodical&gt;&lt;full-title&gt;Developmental cell&lt;/full-title&gt;&lt;abbr-1&gt;Dev cell&lt;/abbr-1&gt;&lt;/periodical&gt;&lt;pages&gt;515-529&lt;/pages&gt;&lt;volume&gt;12&lt;/volume&gt;&lt;number&gt;4&lt;/number&gt;&lt;keywords&gt;&lt;keyword&gt;CELLBIO&lt;/keyword&gt;&lt;keyword&gt;CELLCYCLE&lt;/keyword&gt;&lt;/keywords&gt;&lt;dates&gt;&lt;year&gt;2007&lt;/year&gt;&lt;pub-dates&gt;&lt;date&gt;4//&lt;/date&gt;&lt;/pub-dates&gt;&lt;/dates&gt;&lt;isbn&gt;1534-5807&lt;/isbn&gt;&lt;urls&gt;&lt;related-urls&gt;&lt;url&gt;http://www.sciencedirect.com/science/article/pii/S1534580707000500&lt;/url&gt;&lt;/related-urls&gt;&lt;/urls&gt;&lt;electronic-resource-num&gt;https://doi.org/10.1016/j.devcel.2007.01.019&lt;/electronic-resource-num&gt;&lt;/record&gt;&lt;/Cite&gt;&lt;/EndNote&gt;</w:instrTex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7F74EE">
              <w:rPr>
                <w:noProof/>
                <w:color w:val="000000" w:themeColor="text1"/>
                <w:sz w:val="20"/>
                <w:szCs w:val="20"/>
              </w:rPr>
              <w:t>(Portier et al., 2007)</w:t>
            </w:r>
            <w:r w:rsidRPr="007F74EE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D66775" w:rsidRPr="007F74EE" w14:paraId="58383787" w14:textId="77777777" w:rsidTr="00E6641A">
        <w:tc>
          <w:tcPr>
            <w:tcW w:w="988" w:type="dxa"/>
          </w:tcPr>
          <w:p w14:paraId="483D3633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MAS258</w:t>
            </w:r>
          </w:p>
        </w:tc>
        <w:tc>
          <w:tcPr>
            <w:tcW w:w="5811" w:type="dxa"/>
          </w:tcPr>
          <w:p w14:paraId="6F552F05" w14:textId="77777777" w:rsidR="00D66775" w:rsidRPr="007F74EE" w:rsidRDefault="00D66775" w:rsidP="00E6641A">
            <w:pPr>
              <w:spacing w:line="240" w:lineRule="auto"/>
              <w:ind w:firstLine="0"/>
              <w:rPr>
                <w:i/>
                <w:color w:val="000000" w:themeColor="text1"/>
                <w:sz w:val="20"/>
                <w:szCs w:val="20"/>
              </w:rPr>
            </w:pPr>
            <w:r w:rsidRPr="007F74EE">
              <w:rPr>
                <w:i/>
                <w:color w:val="000000" w:themeColor="text1"/>
                <w:sz w:val="20"/>
                <w:szCs w:val="20"/>
              </w:rPr>
              <w:t>ltIs</w:t>
            </w:r>
            <w:r>
              <w:rPr>
                <w:i/>
                <w:color w:val="000000" w:themeColor="text1"/>
                <w:sz w:val="20"/>
                <w:szCs w:val="20"/>
              </w:rPr>
              <w:t>78</w:t>
            </w:r>
            <w:r w:rsidRPr="007F74EE">
              <w:rPr>
                <w:i/>
                <w:color w:val="000000" w:themeColor="text1"/>
                <w:sz w:val="20"/>
                <w:szCs w:val="20"/>
              </w:rPr>
              <w:t>; bsIs20[</w:t>
            </w:r>
            <w:r w:rsidRPr="00833769">
              <w:rPr>
                <w:i/>
                <w:color w:val="000000" w:themeColor="text1"/>
                <w:sz w:val="20"/>
                <w:szCs w:val="20"/>
              </w:rPr>
              <w:t>pNP99: unc-119(+)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p</w:t>
            </w:r>
            <w:r w:rsidRPr="00833769">
              <w:rPr>
                <w:i/>
                <w:color w:val="000000" w:themeColor="text1"/>
                <w:sz w:val="20"/>
                <w:szCs w:val="20"/>
              </w:rPr>
              <w:t>tbb-1</w:t>
            </w:r>
            <w:r>
              <w:rPr>
                <w:i/>
                <w:color w:val="000000" w:themeColor="text1"/>
                <w:sz w:val="20"/>
                <w:szCs w:val="20"/>
              </w:rPr>
              <w:t>::</w:t>
            </w:r>
            <w:r w:rsidRPr="00833769">
              <w:rPr>
                <w:i/>
                <w:color w:val="000000" w:themeColor="text1"/>
                <w:sz w:val="20"/>
                <w:szCs w:val="20"/>
              </w:rPr>
              <w:t>mCherry</w:t>
            </w:r>
            <w:r>
              <w:rPr>
                <w:i/>
                <w:color w:val="000000" w:themeColor="text1"/>
                <w:sz w:val="20"/>
                <w:szCs w:val="20"/>
              </w:rPr>
              <w:t>::</w:t>
            </w:r>
            <w:r w:rsidRPr="00833769">
              <w:rPr>
                <w:i/>
                <w:color w:val="000000" w:themeColor="text1"/>
                <w:sz w:val="20"/>
                <w:szCs w:val="20"/>
              </w:rPr>
              <w:t>tbb-2</w:t>
            </w:r>
            <w:r>
              <w:rPr>
                <w:i/>
                <w:color w:val="000000" w:themeColor="text1"/>
                <w:sz w:val="20"/>
                <w:szCs w:val="20"/>
              </w:rPr>
              <w:t>::</w:t>
            </w:r>
            <w:r w:rsidRPr="00833769">
              <w:rPr>
                <w:i/>
                <w:color w:val="000000" w:themeColor="text1"/>
                <w:sz w:val="20"/>
                <w:szCs w:val="20"/>
              </w:rPr>
              <w:t>tbb-2 UTR</w:t>
            </w:r>
            <w:r>
              <w:rPr>
                <w:i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2551" w:type="dxa"/>
          </w:tcPr>
          <w:p w14:paraId="31F9D39F" w14:textId="77777777" w:rsidR="00D66775" w:rsidRPr="007F74EE" w:rsidRDefault="00D66775" w:rsidP="00E6641A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7F74EE">
              <w:rPr>
                <w:color w:val="000000" w:themeColor="text1"/>
                <w:sz w:val="20"/>
                <w:szCs w:val="20"/>
              </w:rPr>
              <w:t>(this study)</w:t>
            </w:r>
          </w:p>
        </w:tc>
      </w:tr>
    </w:tbl>
    <w:p w14:paraId="7FB71BCB" w14:textId="77777777" w:rsidR="00EA79CB" w:rsidRDefault="00EA79CB"/>
    <w:sectPr w:rsidR="00EA79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775"/>
    <w:rsid w:val="00161F81"/>
    <w:rsid w:val="00196F23"/>
    <w:rsid w:val="004B4430"/>
    <w:rsid w:val="004F708A"/>
    <w:rsid w:val="008C1239"/>
    <w:rsid w:val="00B6327F"/>
    <w:rsid w:val="00D407FD"/>
    <w:rsid w:val="00D66775"/>
    <w:rsid w:val="00EA79CB"/>
    <w:rsid w:val="00EB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3A403"/>
  <w15:chartTrackingRefBased/>
  <w15:docId w15:val="{3AC46F34-DD58-4648-B94A-C1761138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775"/>
    <w:pPr>
      <w:spacing w:after="0" w:line="360" w:lineRule="auto"/>
      <w:ind w:firstLine="284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775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1917</Words>
  <Characters>10933</Characters>
  <Application>Microsoft Macintosh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L</dc:creator>
  <cp:keywords/>
  <dc:description/>
  <cp:lastModifiedBy>Martin Srayko</cp:lastModifiedBy>
  <cp:revision>4</cp:revision>
  <dcterms:created xsi:type="dcterms:W3CDTF">2019-03-10T21:04:00Z</dcterms:created>
  <dcterms:modified xsi:type="dcterms:W3CDTF">2019-03-11T20:48:00Z</dcterms:modified>
</cp:coreProperties>
</file>