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2D" w:rsidRPr="00FE1C58" w:rsidRDefault="0012412D" w:rsidP="0012412D">
      <w:pPr>
        <w:keepNext/>
        <w:keepLines/>
        <w:spacing w:before="600" w:after="24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FE1C58">
        <w:rPr>
          <w:rFonts w:asciiTheme="majorHAnsi" w:hAnsiTheme="majorHAnsi"/>
          <w:b/>
          <w:sz w:val="24"/>
          <w:szCs w:val="24"/>
        </w:rPr>
        <w:t xml:space="preserve">Supplementary </w:t>
      </w:r>
      <w:bookmarkStart w:id="0" w:name="_GoBack"/>
      <w:bookmarkEnd w:id="0"/>
      <w:r w:rsidRPr="00FE1C58">
        <w:rPr>
          <w:rFonts w:asciiTheme="majorHAnsi" w:hAnsiTheme="majorHAnsi"/>
          <w:b/>
          <w:sz w:val="24"/>
          <w:szCs w:val="24"/>
        </w:rPr>
        <w:t>Figure S1</w:t>
      </w:r>
    </w:p>
    <w:p w:rsidR="0012412D" w:rsidRPr="00FE1C58" w:rsidRDefault="0012412D" w:rsidP="0012412D">
      <w:pPr>
        <w:spacing w:line="480" w:lineRule="auto"/>
        <w:jc w:val="both"/>
        <w:rPr>
          <w:rFonts w:asciiTheme="majorHAnsi" w:hAnsiTheme="majorHAnsi"/>
          <w:sz w:val="24"/>
          <w:szCs w:val="24"/>
          <w:lang w:val="en-GB"/>
        </w:rPr>
      </w:pPr>
      <w:r w:rsidRPr="00FE1C58">
        <w:rPr>
          <w:rFonts w:asciiTheme="majorHAnsi" w:hAnsiTheme="majorHAnsi"/>
          <w:sz w:val="24"/>
          <w:szCs w:val="24"/>
          <w:lang w:val="en-GB"/>
        </w:rPr>
        <w:t xml:space="preserve">Known relationships among 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 xml:space="preserve">Pan </w:t>
      </w:r>
      <w:proofErr w:type="gramStart"/>
      <w:r w:rsidRPr="00FE1C58">
        <w:rPr>
          <w:rFonts w:asciiTheme="majorHAnsi" w:hAnsiTheme="majorHAnsi"/>
          <w:i/>
          <w:sz w:val="24"/>
          <w:szCs w:val="24"/>
          <w:lang w:val="en-GB"/>
        </w:rPr>
        <w:t>troglodytes</w:t>
      </w:r>
      <w:proofErr w:type="gramEnd"/>
      <w:r w:rsidRPr="00FE1C58">
        <w:rPr>
          <w:rFonts w:asciiTheme="majorHAnsi" w:hAnsiTheme="majorHAnsi"/>
          <w:i/>
          <w:sz w:val="24"/>
          <w:szCs w:val="24"/>
          <w:lang w:val="en-GB"/>
        </w:rPr>
        <w:t xml:space="preserve"> </w:t>
      </w:r>
      <w:proofErr w:type="spellStart"/>
      <w:r w:rsidRPr="00FE1C58">
        <w:rPr>
          <w:rFonts w:asciiTheme="majorHAnsi" w:hAnsiTheme="majorHAnsi"/>
          <w:i/>
          <w:sz w:val="24"/>
          <w:szCs w:val="24"/>
          <w:lang w:val="en-GB"/>
        </w:rPr>
        <w:t>verus</w:t>
      </w:r>
      <w:proofErr w:type="spellEnd"/>
      <w:r w:rsidRPr="00FE1C58">
        <w:rPr>
          <w:rFonts w:asciiTheme="majorHAnsi" w:hAnsiTheme="majorHAnsi"/>
          <w:sz w:val="24"/>
          <w:szCs w:val="24"/>
          <w:lang w:val="en-GB"/>
        </w:rPr>
        <w:t xml:space="preserve"> individuals sequenced in this study. (A) Relationships among individuals of the BPRC (Biomedical Primate Research Centre) sample, </w:t>
      </w:r>
      <w:r w:rsidRPr="00FE1C58">
        <w:rPr>
          <w:rFonts w:asciiTheme="majorHAnsi" w:hAnsiTheme="majorHAnsi"/>
          <w:sz w:val="24"/>
          <w:szCs w:val="24"/>
        </w:rPr>
        <w:t xml:space="preserve">constituted of 15 isolated individuals (all females), and 35 individuals related through five separate genealogies. All individuals were Sanger sequenced for the three </w:t>
      </w:r>
      <w:r w:rsidRPr="00FE1C58">
        <w:rPr>
          <w:rFonts w:asciiTheme="majorHAnsi" w:hAnsiTheme="majorHAnsi"/>
          <w:i/>
          <w:sz w:val="24"/>
          <w:szCs w:val="24"/>
        </w:rPr>
        <w:t>NAT</w:t>
      </w:r>
      <w:r w:rsidRPr="00FE1C58">
        <w:rPr>
          <w:rFonts w:asciiTheme="majorHAnsi" w:hAnsiTheme="majorHAnsi"/>
          <w:sz w:val="24"/>
          <w:szCs w:val="24"/>
        </w:rPr>
        <w:t xml:space="preserve"> genes (</w:t>
      </w:r>
      <w:r w:rsidRPr="00FE1C58">
        <w:rPr>
          <w:rFonts w:asciiTheme="majorHAnsi" w:hAnsiTheme="majorHAnsi"/>
          <w:i/>
          <w:sz w:val="24"/>
          <w:szCs w:val="24"/>
        </w:rPr>
        <w:t>NAT1</w:t>
      </w:r>
      <w:r w:rsidRPr="00FE1C58">
        <w:rPr>
          <w:rFonts w:asciiTheme="majorHAnsi" w:hAnsiTheme="majorHAnsi"/>
          <w:sz w:val="24"/>
          <w:szCs w:val="24"/>
        </w:rPr>
        <w:t xml:space="preserve">, </w:t>
      </w:r>
      <w:r w:rsidRPr="00FE1C58">
        <w:rPr>
          <w:rFonts w:asciiTheme="majorHAnsi" w:hAnsiTheme="majorHAnsi"/>
          <w:i/>
          <w:sz w:val="24"/>
          <w:szCs w:val="24"/>
        </w:rPr>
        <w:t>NAT2</w:t>
      </w:r>
      <w:r w:rsidRPr="00FE1C58">
        <w:rPr>
          <w:rFonts w:asciiTheme="majorHAnsi" w:hAnsiTheme="majorHAnsi"/>
          <w:sz w:val="24"/>
          <w:szCs w:val="24"/>
        </w:rPr>
        <w:t xml:space="preserve">, and </w:t>
      </w:r>
      <w:r w:rsidRPr="00FE1C58">
        <w:rPr>
          <w:rFonts w:asciiTheme="majorHAnsi" w:hAnsiTheme="majorHAnsi"/>
          <w:i/>
          <w:sz w:val="24"/>
          <w:szCs w:val="24"/>
        </w:rPr>
        <w:t>NATP</w:t>
      </w:r>
      <w:r w:rsidRPr="00FE1C58">
        <w:rPr>
          <w:rFonts w:asciiTheme="majorHAnsi" w:hAnsiTheme="majorHAnsi"/>
          <w:sz w:val="24"/>
          <w:szCs w:val="24"/>
        </w:rPr>
        <w:t xml:space="preserve">), except those shown in white, orange and blue, due to DNA unavailability; genotypes of individuals that were unambiguously deduced from their descendants are shown in blue (inferred for the three </w:t>
      </w:r>
      <w:r w:rsidRPr="00FE1C58">
        <w:rPr>
          <w:rFonts w:asciiTheme="majorHAnsi" w:hAnsiTheme="majorHAnsi"/>
          <w:i/>
          <w:sz w:val="24"/>
          <w:szCs w:val="24"/>
        </w:rPr>
        <w:t>NAT</w:t>
      </w:r>
      <w:r w:rsidRPr="00FE1C58">
        <w:rPr>
          <w:rFonts w:asciiTheme="majorHAnsi" w:hAnsiTheme="majorHAnsi"/>
          <w:sz w:val="24"/>
          <w:szCs w:val="24"/>
        </w:rPr>
        <w:t xml:space="preserve"> genes) or orange (inferred only for </w:t>
      </w:r>
      <w:r w:rsidRPr="00FE1C58">
        <w:rPr>
          <w:rFonts w:asciiTheme="majorHAnsi" w:hAnsiTheme="majorHAnsi"/>
          <w:i/>
          <w:sz w:val="24"/>
          <w:szCs w:val="24"/>
        </w:rPr>
        <w:t>NATP</w:t>
      </w:r>
      <w:r w:rsidRPr="00FE1C58">
        <w:rPr>
          <w:rFonts w:asciiTheme="majorHAnsi" w:hAnsiTheme="majorHAnsi"/>
          <w:sz w:val="24"/>
          <w:szCs w:val="24"/>
        </w:rPr>
        <w:t xml:space="preserve">), while those in white could not be inferred. Genotypes used in the analyses of diversity included those of the founders, shown in yellow (genotypes of the three </w:t>
      </w:r>
      <w:r w:rsidRPr="00FE1C58">
        <w:rPr>
          <w:rFonts w:asciiTheme="majorHAnsi" w:hAnsiTheme="majorHAnsi"/>
          <w:i/>
          <w:sz w:val="24"/>
          <w:szCs w:val="24"/>
        </w:rPr>
        <w:t>NAT</w:t>
      </w:r>
      <w:r w:rsidRPr="00FE1C58">
        <w:rPr>
          <w:rFonts w:asciiTheme="majorHAnsi" w:hAnsiTheme="majorHAnsi"/>
          <w:sz w:val="24"/>
          <w:szCs w:val="24"/>
        </w:rPr>
        <w:t xml:space="preserve"> genes sequenced), in blue, or in orange, and those of two descendants, Oscar (in beige, </w:t>
      </w:r>
      <w:proofErr w:type="gramStart"/>
      <w:r w:rsidRPr="00FE1C58">
        <w:rPr>
          <w:rFonts w:asciiTheme="majorHAnsi" w:hAnsiTheme="majorHAnsi"/>
          <w:sz w:val="24"/>
          <w:szCs w:val="24"/>
        </w:rPr>
        <w:t>genotypes</w:t>
      </w:r>
      <w:proofErr w:type="gramEnd"/>
      <w:r w:rsidRPr="00FE1C58">
        <w:rPr>
          <w:rFonts w:asciiTheme="majorHAnsi" w:hAnsiTheme="majorHAnsi"/>
          <w:sz w:val="24"/>
          <w:szCs w:val="24"/>
        </w:rPr>
        <w:t xml:space="preserve"> of the three </w:t>
      </w:r>
      <w:r w:rsidRPr="00FE1C58">
        <w:rPr>
          <w:rFonts w:asciiTheme="majorHAnsi" w:hAnsiTheme="majorHAnsi"/>
          <w:i/>
          <w:sz w:val="24"/>
          <w:szCs w:val="24"/>
        </w:rPr>
        <w:t>NAT</w:t>
      </w:r>
      <w:r w:rsidRPr="00FE1C58">
        <w:rPr>
          <w:rFonts w:asciiTheme="majorHAnsi" w:hAnsiTheme="majorHAnsi"/>
          <w:sz w:val="24"/>
          <w:szCs w:val="24"/>
        </w:rPr>
        <w:t xml:space="preserve"> genes sequenced), and </w:t>
      </w:r>
      <w:proofErr w:type="spellStart"/>
      <w:r w:rsidRPr="00FE1C58">
        <w:rPr>
          <w:rFonts w:asciiTheme="majorHAnsi" w:hAnsiTheme="majorHAnsi"/>
          <w:sz w:val="24"/>
          <w:szCs w:val="24"/>
        </w:rPr>
        <w:t>Annaclara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 (in gray, only included for </w:t>
      </w:r>
      <w:r w:rsidRPr="00FE1C58">
        <w:rPr>
          <w:rFonts w:asciiTheme="majorHAnsi" w:hAnsiTheme="majorHAnsi"/>
          <w:i/>
          <w:sz w:val="24"/>
          <w:szCs w:val="24"/>
        </w:rPr>
        <w:t>NAT1</w:t>
      </w:r>
      <w:r w:rsidRPr="00FE1C58">
        <w:rPr>
          <w:rFonts w:asciiTheme="majorHAnsi" w:hAnsiTheme="majorHAnsi"/>
          <w:sz w:val="24"/>
          <w:szCs w:val="24"/>
        </w:rPr>
        <w:t xml:space="preserve"> and </w:t>
      </w:r>
      <w:r w:rsidRPr="00FE1C58">
        <w:rPr>
          <w:rFonts w:asciiTheme="majorHAnsi" w:hAnsiTheme="majorHAnsi"/>
          <w:i/>
          <w:sz w:val="24"/>
          <w:szCs w:val="24"/>
        </w:rPr>
        <w:t>NAT2</w:t>
      </w:r>
      <w:r w:rsidRPr="00FE1C58">
        <w:rPr>
          <w:rFonts w:asciiTheme="majorHAnsi" w:hAnsiTheme="majorHAnsi"/>
          <w:sz w:val="24"/>
          <w:szCs w:val="24"/>
        </w:rPr>
        <w:t xml:space="preserve"> as the corresponding genotype of </w:t>
      </w:r>
      <w:proofErr w:type="spellStart"/>
      <w:r w:rsidRPr="00FE1C58">
        <w:rPr>
          <w:rFonts w:asciiTheme="majorHAnsi" w:hAnsiTheme="majorHAnsi"/>
          <w:sz w:val="24"/>
          <w:szCs w:val="24"/>
        </w:rPr>
        <w:t>Gerrit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 at </w:t>
      </w:r>
      <w:r w:rsidRPr="00FE1C58">
        <w:rPr>
          <w:rFonts w:asciiTheme="majorHAnsi" w:hAnsiTheme="majorHAnsi"/>
          <w:i/>
          <w:sz w:val="24"/>
          <w:szCs w:val="24"/>
        </w:rPr>
        <w:t>NAT1</w:t>
      </w:r>
      <w:r w:rsidRPr="00FE1C58">
        <w:rPr>
          <w:rFonts w:asciiTheme="majorHAnsi" w:hAnsiTheme="majorHAnsi"/>
          <w:sz w:val="24"/>
          <w:szCs w:val="24"/>
        </w:rPr>
        <w:t xml:space="preserve"> and </w:t>
      </w:r>
      <w:r w:rsidRPr="00FE1C58">
        <w:rPr>
          <w:rFonts w:asciiTheme="majorHAnsi" w:hAnsiTheme="majorHAnsi"/>
          <w:i/>
          <w:sz w:val="24"/>
          <w:szCs w:val="24"/>
        </w:rPr>
        <w:t>NAT2</w:t>
      </w:r>
      <w:r w:rsidRPr="00FE1C58">
        <w:rPr>
          <w:rFonts w:asciiTheme="majorHAnsi" w:hAnsiTheme="majorHAnsi"/>
          <w:sz w:val="24"/>
          <w:szCs w:val="24"/>
        </w:rPr>
        <w:t xml:space="preserve"> could not be inferred from his descendants). </w:t>
      </w:r>
      <w:r w:rsidRPr="00FE1C58">
        <w:rPr>
          <w:rFonts w:asciiTheme="majorHAnsi" w:hAnsiTheme="majorHAnsi"/>
          <w:i/>
          <w:sz w:val="24"/>
          <w:szCs w:val="24"/>
        </w:rPr>
        <w:t>NAT</w:t>
      </w:r>
      <w:r w:rsidRPr="00FE1C58">
        <w:rPr>
          <w:rFonts w:asciiTheme="majorHAnsi" w:hAnsiTheme="majorHAnsi"/>
          <w:sz w:val="24"/>
          <w:szCs w:val="24"/>
        </w:rPr>
        <w:t xml:space="preserve"> genotypes of individuals in green (sequenced) were only used to infer their parents’ genotypes and were not included in the analyses of diversity. (B)</w:t>
      </w:r>
      <w:r w:rsidRPr="00FE1C58" w:rsidDel="007A72AB">
        <w:rPr>
          <w:rFonts w:asciiTheme="majorHAnsi" w:hAnsiTheme="majorHAnsi"/>
          <w:sz w:val="24"/>
          <w:szCs w:val="24"/>
        </w:rPr>
        <w:t xml:space="preserve"> </w:t>
      </w:r>
      <w:r w:rsidRPr="00FE1C58">
        <w:rPr>
          <w:rFonts w:asciiTheme="majorHAnsi" w:hAnsiTheme="majorHAnsi"/>
          <w:sz w:val="24"/>
          <w:szCs w:val="24"/>
        </w:rPr>
        <w:t>R</w:t>
      </w:r>
      <w:proofErr w:type="spellStart"/>
      <w:r w:rsidRPr="00FE1C58">
        <w:rPr>
          <w:rFonts w:asciiTheme="majorHAnsi" w:hAnsiTheme="majorHAnsi"/>
          <w:sz w:val="24"/>
          <w:szCs w:val="24"/>
          <w:lang w:val="en-GB"/>
        </w:rPr>
        <w:t>elationships</w:t>
      </w:r>
      <w:proofErr w:type="spellEnd"/>
      <w:r w:rsidRPr="00FE1C58">
        <w:rPr>
          <w:rFonts w:asciiTheme="majorHAnsi" w:hAnsiTheme="majorHAnsi"/>
          <w:sz w:val="24"/>
          <w:szCs w:val="24"/>
          <w:lang w:val="en-GB"/>
        </w:rPr>
        <w:t xml:space="preserve"> among individuals of the </w:t>
      </w:r>
      <w:r w:rsidRPr="00FE1C58">
        <w:rPr>
          <w:rFonts w:asciiTheme="majorHAnsi" w:hAnsiTheme="majorHAnsi"/>
          <w:sz w:val="24"/>
          <w:szCs w:val="24"/>
        </w:rPr>
        <w:t>CARTA (</w:t>
      </w:r>
      <w:proofErr w:type="spellStart"/>
      <w:r w:rsidRPr="00FE1C58">
        <w:rPr>
          <w:rFonts w:asciiTheme="majorHAnsi" w:hAnsiTheme="majorHAnsi"/>
          <w:sz w:val="24"/>
          <w:szCs w:val="24"/>
          <w:lang w:val="en-GB"/>
        </w:rPr>
        <w:t>Center</w:t>
      </w:r>
      <w:proofErr w:type="spellEnd"/>
      <w:r w:rsidRPr="00FE1C58">
        <w:rPr>
          <w:rFonts w:asciiTheme="majorHAnsi" w:hAnsiTheme="majorHAnsi"/>
          <w:sz w:val="24"/>
          <w:szCs w:val="24"/>
          <w:lang w:val="en-GB"/>
        </w:rPr>
        <w:t xml:space="preserve"> for Academic Research and Training in </w:t>
      </w:r>
      <w:proofErr w:type="spellStart"/>
      <w:r w:rsidRPr="00FE1C58">
        <w:rPr>
          <w:rFonts w:asciiTheme="majorHAnsi" w:hAnsiTheme="majorHAnsi"/>
          <w:sz w:val="24"/>
          <w:szCs w:val="24"/>
          <w:lang w:val="en-GB"/>
        </w:rPr>
        <w:t>Anthropogeny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) 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sample. The </w:t>
      </w:r>
      <w:r w:rsidRPr="00FE1C58">
        <w:rPr>
          <w:rFonts w:asciiTheme="majorHAnsi" w:hAnsiTheme="majorHAnsi"/>
          <w:sz w:val="24"/>
          <w:szCs w:val="24"/>
        </w:rPr>
        <w:t>CARTA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complete sample is constituted of 10 unrelated individuals (6 females, 2 males, and 2 individuals of unknown sex, represented by polygons), and 16 individuals related through two separate genealogies. All individuals in purple were Sanger sequenced for the three 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>NAT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genes. (C) The two unrelated individuals from the Basel zoo, that were also Sanger sequenced for the </w:t>
      </w:r>
      <w:r w:rsidRPr="00FE1C58">
        <w:rPr>
          <w:rFonts w:asciiTheme="majorHAnsi" w:hAnsiTheme="majorHAnsi"/>
          <w:sz w:val="24"/>
          <w:szCs w:val="24"/>
          <w:lang w:val="en-GB"/>
        </w:rPr>
        <w:lastRenderedPageBreak/>
        <w:t xml:space="preserve">three 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>NAT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genes, were included in the analyses in the San Diego samples (Supplementary File S1).</w:t>
      </w:r>
    </w:p>
    <w:p w:rsidR="0012412D" w:rsidRPr="00FE1C58" w:rsidRDefault="0012412D" w:rsidP="0012412D">
      <w:pPr>
        <w:keepNext/>
        <w:keepLines/>
        <w:spacing w:before="600" w:after="24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FE1C58">
        <w:rPr>
          <w:rFonts w:asciiTheme="majorHAnsi" w:hAnsiTheme="majorHAnsi"/>
          <w:b/>
          <w:sz w:val="24"/>
          <w:szCs w:val="24"/>
        </w:rPr>
        <w:t>Supplementary Figure S2</w:t>
      </w:r>
    </w:p>
    <w:p w:rsidR="0012412D" w:rsidRPr="00FE1C58" w:rsidRDefault="0012412D" w:rsidP="0012412D">
      <w:pPr>
        <w:spacing w:line="480" w:lineRule="auto"/>
        <w:jc w:val="both"/>
        <w:rPr>
          <w:rFonts w:asciiTheme="majorHAnsi" w:hAnsiTheme="majorHAnsi"/>
          <w:sz w:val="24"/>
          <w:szCs w:val="24"/>
        </w:rPr>
      </w:pPr>
      <w:r w:rsidRPr="00FE1C58">
        <w:rPr>
          <w:rFonts w:asciiTheme="majorHAnsi" w:hAnsiTheme="majorHAnsi"/>
          <w:sz w:val="24"/>
          <w:szCs w:val="24"/>
        </w:rPr>
        <w:t xml:space="preserve">Median-joining network of </w:t>
      </w:r>
      <w:r w:rsidRPr="00FE1C58">
        <w:rPr>
          <w:rFonts w:asciiTheme="majorHAnsi" w:hAnsiTheme="majorHAnsi"/>
          <w:i/>
          <w:sz w:val="24"/>
          <w:szCs w:val="24"/>
        </w:rPr>
        <w:t>NAT1</w:t>
      </w:r>
      <w:r w:rsidRPr="00FE1C58">
        <w:rPr>
          <w:rFonts w:asciiTheme="majorHAnsi" w:hAnsiTheme="majorHAnsi"/>
          <w:sz w:val="24"/>
          <w:szCs w:val="24"/>
        </w:rPr>
        <w:t xml:space="preserve"> haplotypes in the </w:t>
      </w:r>
      <w:r w:rsidRPr="00FE1C58">
        <w:rPr>
          <w:rFonts w:asciiTheme="majorHAnsi" w:hAnsiTheme="majorHAnsi"/>
          <w:i/>
          <w:sz w:val="24"/>
          <w:szCs w:val="24"/>
        </w:rPr>
        <w:t>Pan</w:t>
      </w:r>
      <w:r w:rsidRPr="00FE1C58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FE1C58">
        <w:rPr>
          <w:rFonts w:asciiTheme="majorHAnsi" w:hAnsiTheme="majorHAnsi"/>
          <w:sz w:val="24"/>
          <w:szCs w:val="24"/>
        </w:rPr>
        <w:t>genus</w:t>
      </w:r>
      <w:proofErr w:type="gramEnd"/>
      <w:r w:rsidRPr="00FE1C58">
        <w:rPr>
          <w:rFonts w:asciiTheme="majorHAnsi" w:hAnsiTheme="majorHAnsi"/>
          <w:sz w:val="24"/>
          <w:szCs w:val="24"/>
        </w:rPr>
        <w:t xml:space="preserve"> and divergence from other hominoid species (human, gorilla and orangutan), represented by their reference sequence (GRC37/hg19, gorGor4 and ponAbe2). Positions are numbered according to the human </w:t>
      </w:r>
      <w:proofErr w:type="spellStart"/>
      <w:r w:rsidRPr="00FE1C58">
        <w:rPr>
          <w:rFonts w:asciiTheme="majorHAnsi" w:hAnsiTheme="majorHAnsi"/>
          <w:sz w:val="24"/>
          <w:szCs w:val="24"/>
        </w:rPr>
        <w:t>cds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 (Supplementary Table S3)</w:t>
      </w:r>
      <w:r w:rsidRPr="00FE1C58">
        <w:rPr>
          <w:rFonts w:asciiTheme="majorHAnsi" w:hAnsiTheme="majorHAnsi"/>
          <w:sz w:val="24"/>
          <w:szCs w:val="24"/>
          <w:lang w:val="nl-NL"/>
        </w:rPr>
        <w:t>; n</w:t>
      </w:r>
      <w:r w:rsidRPr="00FE1C58">
        <w:rPr>
          <w:rFonts w:asciiTheme="majorHAnsi" w:hAnsiTheme="majorHAnsi"/>
          <w:sz w:val="24"/>
          <w:szCs w:val="24"/>
          <w:lang w:val="en-GB"/>
        </w:rPr>
        <w:t>on-synonymous mutations are shown in red bold type, synonymous mutations in blue</w:t>
      </w:r>
      <w:r w:rsidRPr="00FE1C58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Pr="00FE1C58">
        <w:rPr>
          <w:rFonts w:asciiTheme="majorHAnsi" w:hAnsiTheme="majorHAnsi"/>
          <w:sz w:val="24"/>
          <w:szCs w:val="24"/>
        </w:rPr>
        <w:t xml:space="preserve">A black arrow points to the inferred recurrent substitution in the median joining network at position 18’080’085 (position 529 in </w:t>
      </w:r>
      <w:proofErr w:type="spellStart"/>
      <w:r w:rsidRPr="00FE1C58">
        <w:rPr>
          <w:rFonts w:asciiTheme="majorHAnsi" w:hAnsiTheme="majorHAnsi"/>
          <w:sz w:val="24"/>
          <w:szCs w:val="24"/>
        </w:rPr>
        <w:t>cds</w:t>
      </w:r>
      <w:proofErr w:type="spellEnd"/>
      <w:r w:rsidRPr="00FE1C58">
        <w:rPr>
          <w:rFonts w:asciiTheme="majorHAnsi" w:hAnsiTheme="majorHAnsi"/>
          <w:sz w:val="24"/>
          <w:szCs w:val="24"/>
        </w:rPr>
        <w:t>), which is characterized by a C in humans and gorillas and an A in chimpanzees, bonobos and orangutans.</w:t>
      </w:r>
      <w:proofErr w:type="gramEnd"/>
    </w:p>
    <w:p w:rsidR="0012412D" w:rsidRPr="00FE1C58" w:rsidRDefault="0012412D" w:rsidP="0012412D">
      <w:pPr>
        <w:spacing w:before="600" w:after="24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FE1C58">
        <w:rPr>
          <w:rFonts w:asciiTheme="majorHAnsi" w:hAnsiTheme="majorHAnsi"/>
          <w:b/>
          <w:sz w:val="24"/>
          <w:szCs w:val="24"/>
        </w:rPr>
        <w:t>Supplementary Figure S3</w:t>
      </w:r>
    </w:p>
    <w:p w:rsidR="0012412D" w:rsidRPr="00FE1C58" w:rsidRDefault="0012412D" w:rsidP="0012412D">
      <w:pPr>
        <w:spacing w:line="480" w:lineRule="auto"/>
        <w:jc w:val="both"/>
        <w:rPr>
          <w:rFonts w:asciiTheme="majorHAnsi" w:hAnsiTheme="majorHAnsi"/>
          <w:sz w:val="24"/>
          <w:szCs w:val="24"/>
        </w:rPr>
      </w:pPr>
      <w:r w:rsidRPr="00FE1C58">
        <w:rPr>
          <w:rFonts w:asciiTheme="majorHAnsi" w:hAnsiTheme="majorHAnsi"/>
          <w:sz w:val="24"/>
          <w:szCs w:val="24"/>
        </w:rPr>
        <w:t xml:space="preserve">Median-joining network of </w:t>
      </w:r>
      <w:r w:rsidRPr="00FE1C58">
        <w:rPr>
          <w:rFonts w:asciiTheme="majorHAnsi" w:hAnsiTheme="majorHAnsi"/>
          <w:i/>
          <w:sz w:val="24"/>
          <w:szCs w:val="24"/>
        </w:rPr>
        <w:t>NAT2</w:t>
      </w:r>
      <w:r w:rsidRPr="00FE1C58">
        <w:rPr>
          <w:rFonts w:asciiTheme="majorHAnsi" w:hAnsiTheme="majorHAnsi"/>
          <w:sz w:val="24"/>
          <w:szCs w:val="24"/>
        </w:rPr>
        <w:t xml:space="preserve"> haplotypes in the </w:t>
      </w:r>
      <w:r w:rsidRPr="00FE1C58">
        <w:rPr>
          <w:rFonts w:asciiTheme="majorHAnsi" w:hAnsiTheme="majorHAnsi"/>
          <w:i/>
          <w:sz w:val="24"/>
          <w:szCs w:val="24"/>
        </w:rPr>
        <w:t>Pan</w:t>
      </w:r>
      <w:r w:rsidRPr="00FE1C58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FE1C58">
        <w:rPr>
          <w:rFonts w:asciiTheme="majorHAnsi" w:hAnsiTheme="majorHAnsi"/>
          <w:sz w:val="24"/>
          <w:szCs w:val="24"/>
        </w:rPr>
        <w:t>genus</w:t>
      </w:r>
      <w:proofErr w:type="gramEnd"/>
      <w:r w:rsidRPr="00FE1C58">
        <w:rPr>
          <w:rFonts w:asciiTheme="majorHAnsi" w:hAnsiTheme="majorHAnsi"/>
          <w:sz w:val="24"/>
          <w:szCs w:val="24"/>
        </w:rPr>
        <w:t xml:space="preserve"> and divergence from other hominoid species (human, gorilla and orangutan), represented by their reference sequence (GRC37/hg19, gorGor4 and ponAbe2). Positions are numbered according to the human </w:t>
      </w:r>
      <w:proofErr w:type="spellStart"/>
      <w:r w:rsidRPr="00FE1C58">
        <w:rPr>
          <w:rFonts w:asciiTheme="majorHAnsi" w:hAnsiTheme="majorHAnsi"/>
          <w:sz w:val="24"/>
          <w:szCs w:val="24"/>
        </w:rPr>
        <w:t>cds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 (Supplementary Table S4)</w:t>
      </w:r>
      <w:r w:rsidRPr="00FE1C58">
        <w:rPr>
          <w:rFonts w:asciiTheme="majorHAnsi" w:hAnsiTheme="majorHAnsi"/>
          <w:sz w:val="24"/>
          <w:szCs w:val="24"/>
          <w:lang w:val="nl-NL"/>
        </w:rPr>
        <w:t>; n</w:t>
      </w:r>
      <w:r w:rsidRPr="00FE1C58">
        <w:rPr>
          <w:rFonts w:asciiTheme="majorHAnsi" w:hAnsiTheme="majorHAnsi"/>
          <w:sz w:val="24"/>
          <w:szCs w:val="24"/>
          <w:lang w:val="en-GB"/>
        </w:rPr>
        <w:t>on-synonymous mutations are shown in red bold type, synonymous mutations in blue</w:t>
      </w:r>
      <w:r w:rsidRPr="00FE1C58">
        <w:rPr>
          <w:rFonts w:asciiTheme="majorHAnsi" w:hAnsiTheme="majorHAnsi"/>
          <w:sz w:val="24"/>
          <w:szCs w:val="24"/>
        </w:rPr>
        <w:t xml:space="preserve">. Positions that mark substitution divergence between some species but are polymorphic in another species are indicated by a star. The red arrow points to a shared non-synonymous polymorphism (C/T) between humans and Western </w:t>
      </w:r>
      <w:r w:rsidRPr="00FE1C58">
        <w:rPr>
          <w:rFonts w:asciiTheme="majorHAnsi" w:hAnsiTheme="majorHAnsi"/>
          <w:sz w:val="24"/>
          <w:szCs w:val="24"/>
        </w:rPr>
        <w:lastRenderedPageBreak/>
        <w:t xml:space="preserve">common chimpanzees at position 18’258’091 (578 in </w:t>
      </w:r>
      <w:proofErr w:type="spellStart"/>
      <w:r w:rsidRPr="00FE1C58">
        <w:rPr>
          <w:rFonts w:asciiTheme="majorHAnsi" w:hAnsiTheme="majorHAnsi"/>
          <w:sz w:val="24"/>
          <w:szCs w:val="24"/>
        </w:rPr>
        <w:t>cds</w:t>
      </w:r>
      <w:proofErr w:type="spellEnd"/>
      <w:r w:rsidRPr="00FE1C58">
        <w:rPr>
          <w:rFonts w:asciiTheme="majorHAnsi" w:hAnsiTheme="majorHAnsi"/>
          <w:sz w:val="24"/>
          <w:szCs w:val="24"/>
        </w:rPr>
        <w:t>). Black arrows point to inferred multiple or recurrent substitutions in the median joining network.</w:t>
      </w:r>
    </w:p>
    <w:p w:rsidR="0012412D" w:rsidRPr="00FE1C58" w:rsidRDefault="0012412D" w:rsidP="0012412D">
      <w:pPr>
        <w:spacing w:before="600" w:after="24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FE1C58">
        <w:rPr>
          <w:rFonts w:asciiTheme="majorHAnsi" w:hAnsiTheme="majorHAnsi"/>
          <w:b/>
          <w:sz w:val="24"/>
          <w:szCs w:val="24"/>
        </w:rPr>
        <w:t>Supplementary Figure S4</w:t>
      </w:r>
    </w:p>
    <w:p w:rsidR="0012412D" w:rsidRPr="00FE1C58" w:rsidRDefault="0012412D" w:rsidP="0012412D">
      <w:pPr>
        <w:spacing w:line="480" w:lineRule="auto"/>
        <w:jc w:val="both"/>
        <w:rPr>
          <w:rFonts w:asciiTheme="majorHAnsi" w:hAnsiTheme="majorHAnsi"/>
          <w:sz w:val="24"/>
          <w:szCs w:val="24"/>
        </w:rPr>
      </w:pPr>
      <w:r w:rsidRPr="00FE1C58">
        <w:rPr>
          <w:rFonts w:asciiTheme="majorHAnsi" w:hAnsiTheme="majorHAnsi"/>
          <w:sz w:val="24"/>
          <w:szCs w:val="24"/>
        </w:rPr>
        <w:t xml:space="preserve">Median-joining network of </w:t>
      </w:r>
      <w:r w:rsidRPr="00FE1C58">
        <w:rPr>
          <w:rFonts w:asciiTheme="majorHAnsi" w:hAnsiTheme="majorHAnsi"/>
          <w:i/>
          <w:sz w:val="24"/>
          <w:szCs w:val="24"/>
        </w:rPr>
        <w:t>NATP</w:t>
      </w:r>
      <w:r w:rsidRPr="00FE1C58">
        <w:rPr>
          <w:rFonts w:asciiTheme="majorHAnsi" w:hAnsiTheme="majorHAnsi"/>
          <w:sz w:val="24"/>
          <w:szCs w:val="24"/>
        </w:rPr>
        <w:t xml:space="preserve"> haplotypes in the </w:t>
      </w:r>
      <w:r w:rsidRPr="00FE1C58">
        <w:rPr>
          <w:rFonts w:asciiTheme="majorHAnsi" w:hAnsiTheme="majorHAnsi"/>
          <w:i/>
          <w:sz w:val="24"/>
          <w:szCs w:val="24"/>
        </w:rPr>
        <w:t>Pan</w:t>
      </w:r>
      <w:r w:rsidRPr="00FE1C58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FE1C58">
        <w:rPr>
          <w:rFonts w:asciiTheme="majorHAnsi" w:hAnsiTheme="majorHAnsi"/>
          <w:sz w:val="24"/>
          <w:szCs w:val="24"/>
        </w:rPr>
        <w:t>genus</w:t>
      </w:r>
      <w:proofErr w:type="gramEnd"/>
      <w:r w:rsidRPr="00FE1C58">
        <w:rPr>
          <w:rFonts w:asciiTheme="majorHAnsi" w:hAnsiTheme="majorHAnsi"/>
          <w:sz w:val="24"/>
          <w:szCs w:val="24"/>
        </w:rPr>
        <w:t xml:space="preserve"> and divergence from other hominoid species (human, gorilla and orangutan), represented by their reference sequence (GRC37/hg19, gorGor4 and ponAbe2). Positions (+ 18’220’000) are numbered according to the human reference sequence (Supplementary Table S5). Due to undefined states, several sequence stretches </w:t>
      </w:r>
      <w:proofErr w:type="spellStart"/>
      <w:r w:rsidRPr="00FE1C58">
        <w:rPr>
          <w:rFonts w:asciiTheme="majorHAnsi" w:hAnsiTheme="majorHAnsi"/>
          <w:sz w:val="24"/>
          <w:szCs w:val="24"/>
          <w:lang w:val="en-GB"/>
        </w:rPr>
        <w:t>were</w:t>
      </w:r>
      <w:proofErr w:type="spellEnd"/>
      <w:r w:rsidRPr="00FE1C58">
        <w:rPr>
          <w:rFonts w:asciiTheme="majorHAnsi" w:hAnsiTheme="majorHAnsi"/>
          <w:sz w:val="24"/>
          <w:szCs w:val="24"/>
          <w:lang w:val="en-GB"/>
        </w:rPr>
        <w:t xml:space="preserve"> not considered for median-joining network construction (</w:t>
      </w:r>
      <w:r w:rsidRPr="00FE1C58">
        <w:rPr>
          <w:rFonts w:asciiTheme="majorHAnsi" w:hAnsiTheme="majorHAnsi"/>
          <w:sz w:val="24"/>
          <w:szCs w:val="24"/>
        </w:rPr>
        <w:t>Supplementary Table S5).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</w:t>
      </w:r>
      <w:r w:rsidRPr="00FE1C58">
        <w:rPr>
          <w:rFonts w:asciiTheme="majorHAnsi" w:hAnsiTheme="majorHAnsi"/>
          <w:sz w:val="24"/>
          <w:szCs w:val="24"/>
        </w:rPr>
        <w:t xml:space="preserve">Positions that mark substitution divergence between some species but are polymorphic in another species are indicated by a star. Blue arrows point to shared polymorphisms between species: a shared T/A polymorphism between humans and chimpanzees (all sub-species but Western common chimpanzees) at position 18’228’285; a shared G/A polymorphism between bonobos and </w:t>
      </w:r>
      <w:proofErr w:type="spellStart"/>
      <w:r w:rsidRPr="00FE1C58">
        <w:rPr>
          <w:rFonts w:asciiTheme="majorHAnsi" w:hAnsiTheme="majorHAnsi"/>
          <w:i/>
          <w:sz w:val="24"/>
          <w:szCs w:val="24"/>
        </w:rPr>
        <w:t>P.t.</w:t>
      </w:r>
      <w:proofErr w:type="spellEnd"/>
      <w:r w:rsidRPr="00FE1C58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FE1C58">
        <w:rPr>
          <w:rFonts w:asciiTheme="majorHAnsi" w:hAnsiTheme="majorHAnsi"/>
          <w:i/>
          <w:sz w:val="24"/>
          <w:szCs w:val="24"/>
        </w:rPr>
        <w:t>schweinfurthii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 at position 18’228’659; a shared G/A polymorphism between humans and </w:t>
      </w:r>
      <w:proofErr w:type="spellStart"/>
      <w:r w:rsidRPr="00FE1C58">
        <w:rPr>
          <w:rFonts w:asciiTheme="majorHAnsi" w:hAnsiTheme="majorHAnsi"/>
          <w:i/>
          <w:sz w:val="24"/>
          <w:szCs w:val="24"/>
        </w:rPr>
        <w:t>P.t.</w:t>
      </w:r>
      <w:proofErr w:type="spellEnd"/>
      <w:r w:rsidRPr="00FE1C58">
        <w:rPr>
          <w:rFonts w:asciiTheme="majorHAnsi" w:hAnsiTheme="majorHAnsi"/>
          <w:i/>
          <w:sz w:val="24"/>
          <w:szCs w:val="24"/>
        </w:rPr>
        <w:t xml:space="preserve"> troglodytes</w:t>
      </w:r>
      <w:r w:rsidRPr="00FE1C58">
        <w:rPr>
          <w:rFonts w:asciiTheme="majorHAnsi" w:hAnsiTheme="majorHAnsi"/>
          <w:sz w:val="24"/>
          <w:szCs w:val="24"/>
        </w:rPr>
        <w:t xml:space="preserve"> at position 18’228’661; a shared T/C polymorphism between </w:t>
      </w:r>
      <w:proofErr w:type="spellStart"/>
      <w:r w:rsidRPr="00FE1C58">
        <w:rPr>
          <w:rFonts w:asciiTheme="majorHAnsi" w:hAnsiTheme="majorHAnsi"/>
          <w:i/>
          <w:sz w:val="24"/>
          <w:szCs w:val="24"/>
        </w:rPr>
        <w:t>P.t.</w:t>
      </w:r>
      <w:proofErr w:type="spellEnd"/>
      <w:r w:rsidRPr="00FE1C58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FE1C58">
        <w:rPr>
          <w:rFonts w:asciiTheme="majorHAnsi" w:hAnsiTheme="majorHAnsi"/>
          <w:i/>
          <w:sz w:val="24"/>
          <w:szCs w:val="24"/>
        </w:rPr>
        <w:t>ellioti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 and </w:t>
      </w:r>
      <w:r w:rsidRPr="00FE1C58">
        <w:rPr>
          <w:rFonts w:asciiTheme="majorHAnsi" w:hAnsiTheme="majorHAnsi"/>
          <w:i/>
          <w:sz w:val="24"/>
          <w:szCs w:val="24"/>
        </w:rPr>
        <w:t xml:space="preserve">Gorilla </w:t>
      </w:r>
      <w:proofErr w:type="spellStart"/>
      <w:r w:rsidRPr="00FE1C58">
        <w:rPr>
          <w:rFonts w:asciiTheme="majorHAnsi" w:hAnsiTheme="majorHAnsi"/>
          <w:i/>
          <w:sz w:val="24"/>
          <w:szCs w:val="24"/>
        </w:rPr>
        <w:t>gorilla</w:t>
      </w:r>
      <w:proofErr w:type="spellEnd"/>
      <w:r w:rsidRPr="00FE1C58">
        <w:rPr>
          <w:rFonts w:asciiTheme="majorHAnsi" w:hAnsiTheme="majorHAnsi"/>
          <w:sz w:val="24"/>
          <w:szCs w:val="24"/>
        </w:rPr>
        <w:t xml:space="preserve"> at position 18’228’959. Black arrows point to inferred multiple, recurrent or coincidental substitutions in different species or sub-species at a position in the network.</w:t>
      </w:r>
    </w:p>
    <w:p w:rsidR="0012412D" w:rsidRPr="00FE1C58" w:rsidRDefault="0012412D" w:rsidP="0012412D">
      <w:pPr>
        <w:spacing w:before="600" w:after="24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FE1C58">
        <w:rPr>
          <w:rFonts w:asciiTheme="majorHAnsi" w:hAnsiTheme="majorHAnsi"/>
          <w:b/>
          <w:sz w:val="24"/>
          <w:szCs w:val="24"/>
        </w:rPr>
        <w:t>Supplementary Figure S5</w:t>
      </w:r>
    </w:p>
    <w:p w:rsidR="0012412D" w:rsidRPr="00FE1C58" w:rsidRDefault="0012412D" w:rsidP="0012412D">
      <w:pPr>
        <w:spacing w:line="480" w:lineRule="auto"/>
        <w:jc w:val="both"/>
        <w:rPr>
          <w:rFonts w:asciiTheme="majorHAnsi" w:hAnsiTheme="majorHAnsi"/>
          <w:sz w:val="24"/>
          <w:szCs w:val="24"/>
          <w:lang w:val="en-GB"/>
        </w:rPr>
      </w:pPr>
      <w:proofErr w:type="gramStart"/>
      <w:r w:rsidRPr="00FE1C58">
        <w:rPr>
          <w:rFonts w:asciiTheme="majorHAnsi" w:hAnsiTheme="majorHAnsi"/>
          <w:sz w:val="24"/>
          <w:szCs w:val="24"/>
          <w:lang w:val="en-GB"/>
        </w:rPr>
        <w:t>Nucleotide diversity (</w:t>
      </w:r>
      <w:r w:rsidRPr="00FE1C58">
        <w:rPr>
          <w:rFonts w:ascii="Cambria" w:hAnsi="Cambria"/>
          <w:i/>
          <w:sz w:val="24"/>
          <w:szCs w:val="24"/>
          <w:lang w:val="en-GB"/>
        </w:rPr>
        <w:t>π</w:t>
      </w:r>
      <w:r w:rsidRPr="00FE1C58">
        <w:rPr>
          <w:rFonts w:ascii="Cambria" w:hAnsi="Cambria"/>
          <w:sz w:val="24"/>
          <w:szCs w:val="24"/>
          <w:lang w:val="en-GB"/>
        </w:rPr>
        <w:t xml:space="preserve"> x 10</w:t>
      </w:r>
      <w:r w:rsidRPr="00FE1C58">
        <w:rPr>
          <w:rFonts w:ascii="Cambria" w:hAnsi="Cambria"/>
          <w:sz w:val="24"/>
          <w:szCs w:val="24"/>
          <w:vertAlign w:val="superscript"/>
          <w:lang w:val="en-GB"/>
        </w:rPr>
        <w:t>-3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) at the three 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>NAT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genes in the two 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>Gorilla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and the two 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>Pongo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species.</w:t>
      </w:r>
      <w:proofErr w:type="gramEnd"/>
      <w:r w:rsidRPr="00FE1C58">
        <w:rPr>
          <w:rFonts w:asciiTheme="majorHAnsi" w:hAnsiTheme="majorHAnsi"/>
          <w:sz w:val="24"/>
          <w:szCs w:val="24"/>
          <w:lang w:val="en-GB"/>
        </w:rPr>
        <w:t xml:space="preserve"> The dotted lines were added to the graphs to highlight inter-locus variation.</w:t>
      </w:r>
    </w:p>
    <w:p w:rsidR="0012412D" w:rsidRPr="00FE1C58" w:rsidRDefault="0012412D" w:rsidP="0012412D">
      <w:pPr>
        <w:spacing w:before="600" w:after="240" w:line="480" w:lineRule="auto"/>
        <w:jc w:val="both"/>
        <w:rPr>
          <w:rFonts w:asciiTheme="majorHAnsi" w:hAnsiTheme="majorHAnsi"/>
          <w:b/>
          <w:sz w:val="24"/>
          <w:szCs w:val="24"/>
        </w:rPr>
      </w:pPr>
      <w:r w:rsidRPr="00FE1C58">
        <w:rPr>
          <w:rFonts w:asciiTheme="majorHAnsi" w:hAnsiTheme="majorHAnsi"/>
          <w:b/>
          <w:sz w:val="24"/>
          <w:szCs w:val="24"/>
        </w:rPr>
        <w:lastRenderedPageBreak/>
        <w:t>Supplementary Figure S6</w:t>
      </w:r>
    </w:p>
    <w:p w:rsidR="0012412D" w:rsidRPr="00FE1C58" w:rsidRDefault="0012412D" w:rsidP="0012412D">
      <w:pPr>
        <w:spacing w:line="480" w:lineRule="auto"/>
        <w:jc w:val="both"/>
        <w:rPr>
          <w:rFonts w:asciiTheme="majorHAnsi" w:hAnsiTheme="majorHAnsi"/>
          <w:sz w:val="24"/>
          <w:szCs w:val="24"/>
          <w:lang w:val="en-GB"/>
        </w:rPr>
      </w:pPr>
      <w:proofErr w:type="gramStart"/>
      <w:r w:rsidRPr="00FE1C58">
        <w:rPr>
          <w:rFonts w:asciiTheme="majorHAnsi" w:hAnsiTheme="majorHAnsi"/>
          <w:sz w:val="24"/>
          <w:szCs w:val="24"/>
          <w:lang w:val="en-GB"/>
        </w:rPr>
        <w:t>Expected heterozygosity (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>h</w:t>
      </w:r>
      <w:r w:rsidRPr="00FE1C58">
        <w:rPr>
          <w:rFonts w:asciiTheme="majorHAnsi" w:hAnsiTheme="majorHAnsi"/>
          <w:sz w:val="24"/>
          <w:szCs w:val="24"/>
          <w:lang w:val="en-GB"/>
        </w:rPr>
        <w:t>) and nucleotide diversity (</w:t>
      </w:r>
      <w:r w:rsidRPr="00FE1C58">
        <w:rPr>
          <w:rFonts w:ascii="Cambria" w:hAnsi="Cambria"/>
          <w:i/>
          <w:sz w:val="24"/>
          <w:szCs w:val="24"/>
          <w:lang w:val="en-GB"/>
        </w:rPr>
        <w:t>π</w:t>
      </w:r>
      <w:r w:rsidRPr="00FE1C58">
        <w:rPr>
          <w:rFonts w:ascii="Cambria" w:hAnsi="Cambria"/>
          <w:sz w:val="24"/>
          <w:szCs w:val="24"/>
          <w:lang w:val="en-GB"/>
        </w:rPr>
        <w:t xml:space="preserve"> x 10</w:t>
      </w:r>
      <w:r w:rsidRPr="00FE1C58">
        <w:rPr>
          <w:rFonts w:ascii="Cambria" w:hAnsi="Cambria"/>
          <w:sz w:val="24"/>
          <w:szCs w:val="24"/>
          <w:vertAlign w:val="superscript"/>
          <w:lang w:val="en-GB"/>
        </w:rPr>
        <w:t>-3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) at the three </w:t>
      </w:r>
      <w:r w:rsidRPr="00FE1C58">
        <w:rPr>
          <w:rFonts w:asciiTheme="majorHAnsi" w:hAnsiTheme="majorHAnsi"/>
          <w:i/>
          <w:sz w:val="24"/>
          <w:szCs w:val="24"/>
          <w:lang w:val="en-GB"/>
        </w:rPr>
        <w:t>NAT</w:t>
      </w:r>
      <w:r w:rsidRPr="00FE1C58">
        <w:rPr>
          <w:rFonts w:asciiTheme="majorHAnsi" w:hAnsiTheme="majorHAnsi"/>
          <w:sz w:val="24"/>
          <w:szCs w:val="24"/>
          <w:lang w:val="en-GB"/>
        </w:rPr>
        <w:t xml:space="preserve"> genes in modern human populations.</w:t>
      </w:r>
      <w:proofErr w:type="gramEnd"/>
      <w:r w:rsidRPr="00FE1C58">
        <w:rPr>
          <w:rFonts w:asciiTheme="majorHAnsi" w:hAnsiTheme="majorHAnsi"/>
          <w:sz w:val="24"/>
          <w:szCs w:val="24"/>
          <w:lang w:val="en-GB"/>
        </w:rPr>
        <w:t xml:space="preserve"> Each dot represents a population (listed in Supplementary Table S7), color-coded according to continental origin.</w:t>
      </w:r>
    </w:p>
    <w:p w:rsidR="0024608F" w:rsidRDefault="0024608F"/>
    <w:sectPr w:rsidR="00246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2D"/>
    <w:rsid w:val="0012412D"/>
    <w:rsid w:val="0024608F"/>
    <w:rsid w:val="007079F0"/>
    <w:rsid w:val="0091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732</Words>
  <Characters>4178</Characters>
  <Application>Microsoft Office Word</Application>
  <DocSecurity>0</DocSecurity>
  <Lines>34</Lines>
  <Paragraphs>9</Paragraphs>
  <ScaleCrop>false</ScaleCrop>
  <Company>Microsoft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 Editor</dc:creator>
  <cp:lastModifiedBy>Copy Editor</cp:lastModifiedBy>
  <cp:revision>1</cp:revision>
  <dcterms:created xsi:type="dcterms:W3CDTF">2019-05-07T17:27:00Z</dcterms:created>
  <dcterms:modified xsi:type="dcterms:W3CDTF">2019-05-07T17:28:00Z</dcterms:modified>
</cp:coreProperties>
</file>