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99CDAA" w14:textId="77777777" w:rsidR="00B92D41" w:rsidRPr="00FD1821" w:rsidRDefault="00B92D41" w:rsidP="00B92D41">
      <w:pPr>
        <w:jc w:val="both"/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b/>
          <w:sz w:val="20"/>
          <w:szCs w:val="20"/>
        </w:rPr>
        <w:t>Table S</w:t>
      </w:r>
      <w:r w:rsidRPr="00FD1821">
        <w:rPr>
          <w:rFonts w:ascii="Arial" w:hAnsi="Arial" w:cs="Arial"/>
          <w:b/>
          <w:noProof/>
          <w:sz w:val="20"/>
          <w:szCs w:val="20"/>
        </w:rPr>
        <w:t>1</w:t>
      </w:r>
      <w:r w:rsidRPr="00FD1821">
        <w:rPr>
          <w:rFonts w:ascii="Arial" w:hAnsi="Arial" w:cs="Arial"/>
          <w:sz w:val="20"/>
          <w:szCs w:val="20"/>
        </w:rPr>
        <w:t xml:space="preserve"> The </w:t>
      </w:r>
      <w:proofErr w:type="spellStart"/>
      <w:r w:rsidRPr="00FD1821">
        <w:rPr>
          <w:rFonts w:ascii="Arial" w:hAnsi="Arial" w:cs="Arial"/>
          <w:sz w:val="20"/>
          <w:szCs w:val="20"/>
        </w:rPr>
        <w:t>RNAseq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datasets, for which transcript count values were downloaded from </w:t>
      </w:r>
      <w:proofErr w:type="spellStart"/>
      <w:r w:rsidRPr="00FD1821">
        <w:rPr>
          <w:rFonts w:ascii="Arial" w:hAnsi="Arial" w:cs="Arial"/>
          <w:sz w:val="20"/>
          <w:szCs w:val="20"/>
        </w:rPr>
        <w:t>expVIP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. These datasets provide </w:t>
      </w:r>
      <w:proofErr w:type="spellStart"/>
      <w:r w:rsidRPr="00FD1821">
        <w:rPr>
          <w:rFonts w:ascii="Arial" w:hAnsi="Arial" w:cs="Arial"/>
          <w:sz w:val="20"/>
          <w:szCs w:val="20"/>
        </w:rPr>
        <w:t>RNAseq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data on wheat inoculated with a fungal pathogen or a pathogen associated molecular pattern.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584"/>
        <w:gridCol w:w="3456"/>
        <w:gridCol w:w="2430"/>
        <w:gridCol w:w="2835"/>
        <w:gridCol w:w="1871"/>
      </w:tblGrid>
      <w:tr w:rsidR="00B92D41" w:rsidRPr="00FD1821" w14:paraId="4237ACDC" w14:textId="77777777" w:rsidTr="00A623E3">
        <w:trPr>
          <w:trHeight w:val="243"/>
        </w:trPr>
        <w:tc>
          <w:tcPr>
            <w:tcW w:w="1264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73AF9A" w14:textId="77777777" w:rsidR="00B92D41" w:rsidRPr="00FD1821" w:rsidRDefault="00B92D41" w:rsidP="00592316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Stress (reference)</w:t>
            </w:r>
          </w:p>
        </w:tc>
        <w:tc>
          <w:tcPr>
            <w:tcW w:w="121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246D4E" w14:textId="77777777" w:rsidR="00B92D41" w:rsidRPr="00FD1821" w:rsidRDefault="00B92D41" w:rsidP="00592316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  <w:t>Cultivar</w:t>
            </w:r>
          </w:p>
        </w:tc>
        <w:tc>
          <w:tcPr>
            <w:tcW w:w="857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2821252" w14:textId="77777777" w:rsidR="00B92D41" w:rsidRPr="00FD1821" w:rsidRDefault="00B92D41" w:rsidP="00592316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  <w:t>Timepoint</w:t>
            </w:r>
          </w:p>
        </w:tc>
        <w:tc>
          <w:tcPr>
            <w:tcW w:w="100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05841E" w14:textId="77777777" w:rsidR="00B92D41" w:rsidRPr="00FD1821" w:rsidRDefault="00B92D41" w:rsidP="00592316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Disease</w:t>
            </w:r>
          </w:p>
        </w:tc>
        <w:tc>
          <w:tcPr>
            <w:tcW w:w="661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AA52D0" w14:textId="77777777" w:rsidR="00B92D41" w:rsidRPr="00FD1821" w:rsidRDefault="00B92D41" w:rsidP="00592316">
            <w:pPr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b/>
                <w:color w:val="000000"/>
                <w:sz w:val="20"/>
                <w:szCs w:val="20"/>
              </w:rPr>
              <w:t>Tissue</w:t>
            </w:r>
          </w:p>
        </w:tc>
      </w:tr>
      <w:tr w:rsidR="00B92D41" w:rsidRPr="00FD1821" w14:paraId="08CD742E" w14:textId="77777777" w:rsidTr="00A623E3">
        <w:trPr>
          <w:trHeight w:val="462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EF4FB5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Zymoseptoria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tritici</w:t>
            </w:r>
            <w:proofErr w:type="spellEnd"/>
          </w:p>
          <w:p w14:paraId="33D1C026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(Yang et al., 2013)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C55324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Sevin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133DA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4, 10 and 13 days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321F7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proofErr w:type="spellStart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Septoria</w:t>
            </w:r>
            <w:proofErr w:type="spellEnd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tritici</w:t>
            </w:r>
            <w:proofErr w:type="spellEnd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blotch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EEF22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  <w:tr w:rsidR="00B92D41" w:rsidRPr="00FD1821" w14:paraId="6AB9CBF0" w14:textId="77777777" w:rsidTr="00A623E3">
        <w:trPr>
          <w:trHeight w:val="462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EEB54B" w14:textId="72C95D0D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Fusarium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graminearum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(Kugler et al., 2013)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CADDB01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NIL1, NIL2, NIL3, NIL4 from CM-82036 BC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vertAlign w:val="subscript"/>
                <w:lang w:val="en-IE"/>
              </w:rPr>
              <w:t>5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 xml:space="preserve"> in Remus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B7B09F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38 and 50 hours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FF95F6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Fusarium head blight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928BBCF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Floret</w:t>
            </w:r>
          </w:p>
        </w:tc>
      </w:tr>
      <w:tr w:rsidR="00B92D41" w:rsidRPr="00FD1821" w14:paraId="651F5693" w14:textId="77777777" w:rsidTr="00A623E3">
        <w:trPr>
          <w:trHeight w:val="698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D1AAEC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Puccinia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striiformis</w:t>
            </w:r>
            <w:proofErr w:type="spellEnd"/>
          </w:p>
          <w:p w14:paraId="2A971FCA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(Zhang et al., 2014)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AB4C32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N9134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96DC68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24, 48 and 82 hours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224C7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Stripe rust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99AA19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  <w:tr w:rsidR="00B92D41" w:rsidRPr="00FD1821" w14:paraId="19A52099" w14:textId="77777777" w:rsidTr="00A623E3">
        <w:trPr>
          <w:trHeight w:val="696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E4928E7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Blumeria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graminis</w:t>
            </w:r>
            <w:proofErr w:type="spellEnd"/>
          </w:p>
          <w:p w14:paraId="57B32E83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(Zhang et al., 2014)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00C3687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N9134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F9491D7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24, 48 and 82 hours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ABB2CE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Powdery mildew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F77089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  <w:tr w:rsidR="00B92D41" w:rsidRPr="00FD1821" w14:paraId="388182AF" w14:textId="77777777" w:rsidTr="00A623E3">
        <w:trPr>
          <w:trHeight w:val="732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E0458D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Fusarium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graminearum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(Schweiger et al., 2016)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CD9265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NIL38 AND NIL51 from Remus in CM-82036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A1863E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3, 6, 12, 24, 46, 48 hours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A7C4C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Fusarium head blight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35C2D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Head</w:t>
            </w:r>
          </w:p>
        </w:tc>
      </w:tr>
      <w:tr w:rsidR="00B92D41" w:rsidRPr="00FD1821" w14:paraId="68BB0F81" w14:textId="77777777" w:rsidTr="00A623E3">
        <w:trPr>
          <w:trHeight w:val="698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7F4AB7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Fusarium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pseudograminearum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(Powell et al., 2017)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D6231D6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Chara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B1EB309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36 hours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C7475E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Fusarium crown rot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F09DEF3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Coleoptile</w:t>
            </w:r>
          </w:p>
        </w:tc>
      </w:tr>
      <w:tr w:rsidR="00B92D41" w:rsidRPr="00FD1821" w14:paraId="4F7DE38B" w14:textId="77777777" w:rsidTr="00A623E3">
        <w:trPr>
          <w:trHeight w:val="698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B4EB22F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Magnaporthe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oryzae</w:t>
            </w:r>
            <w:proofErr w:type="spellEnd"/>
          </w:p>
          <w:p w14:paraId="4516AB9C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(Islam et al., 2016)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C2674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unknown (field)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01B077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unknown (field)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BA79C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Wheat blast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EB9F878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  <w:tr w:rsidR="00B92D41" w:rsidRPr="00FD1821" w14:paraId="743B288D" w14:textId="77777777" w:rsidTr="00A623E3">
        <w:trPr>
          <w:trHeight w:val="647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8F1E12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Zymoseptoria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tritici</w:t>
            </w:r>
            <w:proofErr w:type="spellEnd"/>
          </w:p>
          <w:p w14:paraId="2C815276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(Rudd et al., 2015)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453C00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Riband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31BC29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1, 4, 9, 14, 21 days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05C931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proofErr w:type="spellStart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Septoria</w:t>
            </w:r>
            <w:proofErr w:type="spellEnd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tritici</w:t>
            </w:r>
            <w:proofErr w:type="spellEnd"/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blotch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043392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  <w:tr w:rsidR="00B92D41" w:rsidRPr="00FD1821" w14:paraId="2FA29303" w14:textId="77777777" w:rsidTr="00A623E3">
        <w:trPr>
          <w:trHeight w:val="698"/>
        </w:trPr>
        <w:tc>
          <w:tcPr>
            <w:tcW w:w="12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C8F9220" w14:textId="77777777" w:rsidR="00B92D41" w:rsidRPr="00FD1821" w:rsidRDefault="00B92D41" w:rsidP="00592316">
            <w:pPr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Fusarium </w:t>
            </w:r>
            <w:proofErr w:type="spellStart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>pseudograminearum</w:t>
            </w:r>
            <w:proofErr w:type="spellEnd"/>
            <w:r w:rsidRPr="00FD1821">
              <w:rPr>
                <w:rFonts w:ascii="Arial" w:eastAsia="Times New Roman" w:hAnsi="Arial"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(Ma et al., 2014)</w:t>
            </w:r>
          </w:p>
        </w:tc>
        <w:tc>
          <w:tcPr>
            <w:tcW w:w="121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AE5947D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NILs from Janz’*2/CSCR6</w:t>
            </w: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47E6875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3 and 5 days</w:t>
            </w:r>
          </w:p>
        </w:tc>
        <w:tc>
          <w:tcPr>
            <w:tcW w:w="1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7A43AB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Fusarium crown rot</w:t>
            </w:r>
          </w:p>
        </w:tc>
        <w:tc>
          <w:tcPr>
            <w:tcW w:w="66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82D7EE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Seedling stem</w:t>
            </w:r>
          </w:p>
        </w:tc>
      </w:tr>
      <w:tr w:rsidR="00B92D41" w:rsidRPr="00FD1821" w14:paraId="155916A4" w14:textId="77777777" w:rsidTr="00A623E3">
        <w:trPr>
          <w:trHeight w:val="713"/>
        </w:trPr>
        <w:tc>
          <w:tcPr>
            <w:tcW w:w="126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AEEB3DC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Chitin and flg22</w:t>
            </w:r>
          </w:p>
          <w:p w14:paraId="0276A344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(Ramirez-Gonzalez et al., 2018)</w:t>
            </w:r>
          </w:p>
        </w:tc>
        <w:tc>
          <w:tcPr>
            <w:tcW w:w="121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621EDA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Chinese Spring</w:t>
            </w:r>
          </w:p>
        </w:tc>
        <w:tc>
          <w:tcPr>
            <w:tcW w:w="85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465F0B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  <w:t>30 minutes</w:t>
            </w:r>
          </w:p>
        </w:tc>
        <w:tc>
          <w:tcPr>
            <w:tcW w:w="100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B935A3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PAMP elicitors</w:t>
            </w:r>
          </w:p>
        </w:tc>
        <w:tc>
          <w:tcPr>
            <w:tcW w:w="66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D4B85CE" w14:textId="77777777" w:rsidR="00B92D41" w:rsidRPr="00FD1821" w:rsidRDefault="00B92D41" w:rsidP="00592316">
            <w:pPr>
              <w:rPr>
                <w:rFonts w:ascii="Arial" w:eastAsia="Times New Roman" w:hAnsi="Arial" w:cs="Arial"/>
                <w:color w:val="000000"/>
                <w:sz w:val="20"/>
                <w:szCs w:val="20"/>
                <w:lang w:val="en-IE"/>
              </w:rPr>
            </w:pPr>
            <w:r w:rsidRPr="00FD182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Leaf</w:t>
            </w:r>
          </w:p>
        </w:tc>
      </w:tr>
    </w:tbl>
    <w:p w14:paraId="15C64D26" w14:textId="77777777" w:rsidR="00B92D41" w:rsidRPr="00FD1821" w:rsidRDefault="00B92D41" w:rsidP="00B92D41">
      <w:pPr>
        <w:jc w:val="both"/>
        <w:rPr>
          <w:rFonts w:ascii="Arial" w:hAnsi="Arial" w:cs="Arial"/>
          <w:sz w:val="20"/>
          <w:szCs w:val="20"/>
        </w:rPr>
      </w:pPr>
    </w:p>
    <w:p w14:paraId="127A9851" w14:textId="77777777" w:rsidR="005873A6" w:rsidRPr="00FD1821" w:rsidRDefault="005873A6">
      <w:pPr>
        <w:rPr>
          <w:rFonts w:ascii="Arial" w:hAnsi="Arial" w:cs="Arial"/>
          <w:sz w:val="20"/>
          <w:szCs w:val="20"/>
        </w:rPr>
        <w:sectPr w:rsidR="005873A6" w:rsidRPr="00FD1821" w:rsidSect="005873A6">
          <w:pgSz w:w="16840" w:h="11900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1FBB5AD9" w14:textId="77777777" w:rsidR="00B92D41" w:rsidRPr="00FD1821" w:rsidRDefault="00B92D41" w:rsidP="00B92D41">
      <w:pPr>
        <w:jc w:val="both"/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b/>
          <w:sz w:val="20"/>
          <w:szCs w:val="20"/>
        </w:rPr>
        <w:lastRenderedPageBreak/>
        <w:t>Table S</w:t>
      </w:r>
      <w:r w:rsidRPr="00FD1821">
        <w:rPr>
          <w:rFonts w:ascii="Arial" w:hAnsi="Arial" w:cs="Arial"/>
          <w:b/>
          <w:noProof/>
          <w:sz w:val="20"/>
          <w:szCs w:val="20"/>
        </w:rPr>
        <w:t>2</w:t>
      </w:r>
      <w:r w:rsidRPr="00FD1821">
        <w:rPr>
          <w:rFonts w:ascii="Arial" w:hAnsi="Arial" w:cs="Arial"/>
          <w:sz w:val="20"/>
          <w:szCs w:val="20"/>
        </w:rPr>
        <w:t xml:space="preserve"> The </w:t>
      </w:r>
      <w:proofErr w:type="spellStart"/>
      <w:r w:rsidRPr="00FD1821">
        <w:rPr>
          <w:rFonts w:ascii="Arial" w:hAnsi="Arial" w:cs="Arial"/>
          <w:sz w:val="20"/>
          <w:szCs w:val="20"/>
        </w:rPr>
        <w:t>RNAseq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datasets for which transcript TMP values were downloaded from </w:t>
      </w:r>
      <w:proofErr w:type="spellStart"/>
      <w:r w:rsidRPr="00FD1821">
        <w:rPr>
          <w:rFonts w:ascii="Arial" w:hAnsi="Arial" w:cs="Arial"/>
          <w:sz w:val="20"/>
          <w:szCs w:val="20"/>
        </w:rPr>
        <w:t>expVIP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. These datasets provide </w:t>
      </w:r>
      <w:proofErr w:type="spellStart"/>
      <w:r w:rsidRPr="00FD1821">
        <w:rPr>
          <w:rFonts w:ascii="Arial" w:hAnsi="Arial" w:cs="Arial"/>
          <w:sz w:val="20"/>
          <w:szCs w:val="20"/>
        </w:rPr>
        <w:t>RNAseq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data on wheat heads and the developing grain.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930"/>
        <w:gridCol w:w="3306"/>
      </w:tblGrid>
      <w:tr w:rsidR="00B92D41" w:rsidRPr="00FD1821" w14:paraId="5C9E8792" w14:textId="77777777" w:rsidTr="00A623E3">
        <w:trPr>
          <w:trHeight w:val="339"/>
        </w:trPr>
        <w:tc>
          <w:tcPr>
            <w:tcW w:w="321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1990CD9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Tissue</w:t>
            </w:r>
          </w:p>
        </w:tc>
        <w:tc>
          <w:tcPr>
            <w:tcW w:w="179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78ECEC1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Cultivar</w:t>
            </w:r>
          </w:p>
        </w:tc>
      </w:tr>
      <w:tr w:rsidR="00B92D41" w:rsidRPr="00FD1821" w14:paraId="0823B038" w14:textId="77777777" w:rsidTr="00A623E3">
        <w:trPr>
          <w:trHeight w:val="339"/>
        </w:trPr>
        <w:tc>
          <w:tcPr>
            <w:tcW w:w="321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08C0DAF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Spike and grain </w:t>
            </w:r>
          </w:p>
          <w:p w14:paraId="48C3D47D" w14:textId="245F2145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(Ramirez-Gonzalez et al. 2018)</w:t>
            </w:r>
          </w:p>
        </w:tc>
        <w:tc>
          <w:tcPr>
            <w:tcW w:w="1790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BBA132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Chinese Spring</w:t>
            </w:r>
          </w:p>
        </w:tc>
      </w:tr>
      <w:tr w:rsidR="00B92D41" w:rsidRPr="00FD1821" w14:paraId="45BE5910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nil"/>
              <w:right w:val="nil"/>
            </w:tcBorders>
          </w:tcPr>
          <w:p w14:paraId="3F9B030C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Spike and grain </w:t>
            </w:r>
          </w:p>
          <w:p w14:paraId="5C2BF888" w14:textId="47F5E690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(Ramirez-Gonzalez et al. 2018)</w:t>
            </w:r>
          </w:p>
        </w:tc>
        <w:tc>
          <w:tcPr>
            <w:tcW w:w="1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A6F59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proofErr w:type="spellStart"/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Westonia</w:t>
            </w:r>
            <w:proofErr w:type="spellEnd"/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 x </w:t>
            </w:r>
            <w:proofErr w:type="spellStart"/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Kauz</w:t>
            </w:r>
            <w:proofErr w:type="spellEnd"/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 DH li</w:t>
            </w:r>
            <w:bookmarkStart w:id="0" w:name="_GoBack"/>
            <w:bookmarkEnd w:id="0"/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nes</w:t>
            </w:r>
          </w:p>
        </w:tc>
      </w:tr>
      <w:tr w:rsidR="00B92D41" w:rsidRPr="00FD1821" w14:paraId="791C1980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nil"/>
              <w:right w:val="nil"/>
            </w:tcBorders>
          </w:tcPr>
          <w:p w14:paraId="38146070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Endosperm </w:t>
            </w:r>
          </w:p>
          <w:p w14:paraId="326B8957" w14:textId="38D0A9F1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(Li et al. 2013)</w:t>
            </w:r>
          </w:p>
        </w:tc>
        <w:tc>
          <w:tcPr>
            <w:tcW w:w="1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08FDE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P271</w:t>
            </w:r>
          </w:p>
        </w:tc>
      </w:tr>
      <w:tr w:rsidR="00B92D41" w:rsidRPr="00FD1821" w14:paraId="4852A09C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nil"/>
              <w:right w:val="nil"/>
            </w:tcBorders>
          </w:tcPr>
          <w:p w14:paraId="0B7D417D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Spike and grain </w:t>
            </w:r>
          </w:p>
          <w:p w14:paraId="460B4C3E" w14:textId="00C47305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(Pearce et al. 2015)</w:t>
            </w:r>
          </w:p>
        </w:tc>
        <w:tc>
          <w:tcPr>
            <w:tcW w:w="1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A78D365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Chinese spring</w:t>
            </w:r>
          </w:p>
        </w:tc>
      </w:tr>
      <w:tr w:rsidR="00B92D41" w:rsidRPr="00FD1821" w14:paraId="78047558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nil"/>
              <w:right w:val="nil"/>
            </w:tcBorders>
          </w:tcPr>
          <w:p w14:paraId="1E8D71C5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Grain </w:t>
            </w:r>
          </w:p>
          <w:p w14:paraId="24E84F20" w14:textId="5F461481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(Gillies et al. 2012)</w:t>
            </w:r>
          </w:p>
        </w:tc>
        <w:tc>
          <w:tcPr>
            <w:tcW w:w="1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F3038EA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Banks</w:t>
            </w:r>
          </w:p>
        </w:tc>
      </w:tr>
      <w:tr w:rsidR="00B92D41" w:rsidRPr="00FD1821" w14:paraId="648B8443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nil"/>
              <w:right w:val="nil"/>
            </w:tcBorders>
          </w:tcPr>
          <w:p w14:paraId="766FC480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Grain </w:t>
            </w:r>
          </w:p>
          <w:p w14:paraId="5E16B969" w14:textId="335246B8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(Pfeifer et al. 2014)</w:t>
            </w:r>
          </w:p>
        </w:tc>
        <w:tc>
          <w:tcPr>
            <w:tcW w:w="179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8D3E882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Chinese spring</w:t>
            </w:r>
          </w:p>
        </w:tc>
      </w:tr>
      <w:tr w:rsidR="00B92D41" w:rsidRPr="00FD1821" w14:paraId="5CF3E1D1" w14:textId="77777777" w:rsidTr="00A623E3">
        <w:trPr>
          <w:trHeight w:val="339"/>
        </w:trPr>
        <w:tc>
          <w:tcPr>
            <w:tcW w:w="3210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4103C9" w14:textId="77777777" w:rsidR="005873A6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 xml:space="preserve">Grain </w:t>
            </w:r>
          </w:p>
          <w:p w14:paraId="575DF1A7" w14:textId="38D2638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(Barrero et al. 2015)</w:t>
            </w:r>
          </w:p>
        </w:tc>
        <w:tc>
          <w:tcPr>
            <w:tcW w:w="179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A0C8269" w14:textId="77777777" w:rsidR="00B92D41" w:rsidRPr="00FD1821" w:rsidRDefault="00B92D41" w:rsidP="00592316">
            <w:pPr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D1821">
              <w:rPr>
                <w:rFonts w:ascii="Arial" w:hAnsi="Arial" w:cs="Arial"/>
                <w:color w:val="000000"/>
                <w:sz w:val="20"/>
                <w:szCs w:val="20"/>
              </w:rPr>
              <w:t>MAGIC RILs</w:t>
            </w:r>
          </w:p>
        </w:tc>
      </w:tr>
    </w:tbl>
    <w:p w14:paraId="132AE971" w14:textId="003CD456" w:rsidR="008412AE" w:rsidRPr="00FD1821" w:rsidRDefault="008412AE">
      <w:pPr>
        <w:rPr>
          <w:rFonts w:ascii="Arial" w:hAnsi="Arial" w:cs="Arial"/>
          <w:sz w:val="20"/>
          <w:szCs w:val="20"/>
        </w:rPr>
      </w:pPr>
    </w:p>
    <w:p w14:paraId="0659FB5D" w14:textId="223B8769" w:rsidR="008412AE" w:rsidRPr="00FD1821" w:rsidRDefault="008412AE" w:rsidP="005873A6">
      <w:pPr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sz w:val="20"/>
          <w:szCs w:val="20"/>
        </w:rPr>
        <w:br w:type="page"/>
      </w:r>
    </w:p>
    <w:p w14:paraId="450CCAC5" w14:textId="60C6845C" w:rsidR="008412AE" w:rsidRPr="00FD1821" w:rsidRDefault="008412AE" w:rsidP="008412AE">
      <w:pPr>
        <w:jc w:val="both"/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 wp14:anchorId="03408D98" wp14:editId="5E84C4C7">
            <wp:extent cx="5777693" cy="4832252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usarium heatmap.tif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8335" cy="483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Ref528667838"/>
      <w:r w:rsidRPr="00FD1821">
        <w:rPr>
          <w:rFonts w:ascii="Arial" w:hAnsi="Arial" w:cs="Arial"/>
          <w:b/>
          <w:sz w:val="20"/>
          <w:szCs w:val="20"/>
        </w:rPr>
        <w:t xml:space="preserve">Figure </w:t>
      </w:r>
      <w:bookmarkEnd w:id="1"/>
      <w:r w:rsidRPr="00FD1821">
        <w:rPr>
          <w:rFonts w:ascii="Arial" w:hAnsi="Arial" w:cs="Arial"/>
          <w:b/>
          <w:sz w:val="20"/>
          <w:szCs w:val="20"/>
        </w:rPr>
        <w:t>S1</w:t>
      </w:r>
      <w:r w:rsidRPr="00FD1821">
        <w:rPr>
          <w:rFonts w:ascii="Arial" w:hAnsi="Arial" w:cs="Arial"/>
          <w:sz w:val="20"/>
          <w:szCs w:val="20"/>
        </w:rPr>
        <w:t xml:space="preserve"> Serpins genes in differentially regulated in response to infection with </w:t>
      </w:r>
      <w:r w:rsidRPr="00FD1821">
        <w:rPr>
          <w:rFonts w:ascii="Arial" w:hAnsi="Arial" w:cs="Arial"/>
          <w:i/>
          <w:sz w:val="20"/>
          <w:szCs w:val="20"/>
        </w:rPr>
        <w:t xml:space="preserve">F. </w:t>
      </w:r>
      <w:proofErr w:type="spellStart"/>
      <w:r w:rsidRPr="00FD1821">
        <w:rPr>
          <w:rFonts w:ascii="Arial" w:hAnsi="Arial" w:cs="Arial"/>
          <w:i/>
          <w:sz w:val="20"/>
          <w:szCs w:val="20"/>
        </w:rPr>
        <w:t>graminearum</w:t>
      </w:r>
      <w:proofErr w:type="spellEnd"/>
      <w:r w:rsidRPr="00FD1821">
        <w:rPr>
          <w:rFonts w:ascii="Arial" w:hAnsi="Arial" w:cs="Arial"/>
          <w:i/>
          <w:sz w:val="20"/>
          <w:szCs w:val="20"/>
        </w:rPr>
        <w:t xml:space="preserve"> </w:t>
      </w:r>
      <w:r w:rsidRPr="00FD1821">
        <w:rPr>
          <w:rFonts w:ascii="Arial" w:hAnsi="Arial" w:cs="Arial"/>
          <w:sz w:val="20"/>
          <w:szCs w:val="20"/>
        </w:rPr>
        <w:t xml:space="preserve">in multiple cultivars. These nine serpin genes were upregulated by </w:t>
      </w:r>
      <w:r w:rsidRPr="00FD1821">
        <w:rPr>
          <w:rFonts w:ascii="Arial" w:hAnsi="Arial" w:cs="Arial"/>
          <w:i/>
          <w:sz w:val="20"/>
          <w:szCs w:val="20"/>
        </w:rPr>
        <w:t xml:space="preserve">Fusarium </w:t>
      </w:r>
      <w:r w:rsidRPr="00FD1821">
        <w:rPr>
          <w:rFonts w:ascii="Arial" w:hAnsi="Arial" w:cs="Arial"/>
          <w:sz w:val="20"/>
          <w:szCs w:val="20"/>
        </w:rPr>
        <w:t xml:space="preserve">across two different wheat genotypes. The near-isogenic lines (NILs) NIL38 and NIL51 are derived from a cross between </w:t>
      </w:r>
      <w:r w:rsidRPr="00FD1821">
        <w:rPr>
          <w:rFonts w:ascii="Arial" w:hAnsi="Arial" w:cs="Arial"/>
          <w:i/>
          <w:sz w:val="20"/>
          <w:szCs w:val="20"/>
        </w:rPr>
        <w:t xml:space="preserve">Triticum aestivum </w:t>
      </w:r>
      <w:r w:rsidRPr="00FD1821">
        <w:rPr>
          <w:rFonts w:ascii="Arial" w:hAnsi="Arial" w:cs="Arial"/>
          <w:sz w:val="20"/>
          <w:szCs w:val="20"/>
        </w:rPr>
        <w:t xml:space="preserve">cvs. CM-82036 and Remus. NIL38 carries resistant alleles for two FHB QTL, and NIL51 carries the susceptible alleles </w:t>
      </w:r>
      <w:r w:rsidRPr="00FD1821">
        <w:rPr>
          <w:rFonts w:ascii="Arial" w:hAnsi="Arial" w:cs="Arial"/>
          <w:noProof/>
          <w:sz w:val="20"/>
          <w:szCs w:val="20"/>
        </w:rPr>
        <w:t>(Schweiger et al. 2016)</w:t>
      </w:r>
      <w:r w:rsidRPr="00FD1821">
        <w:rPr>
          <w:rFonts w:ascii="Arial" w:hAnsi="Arial" w:cs="Arial"/>
          <w:sz w:val="20"/>
          <w:szCs w:val="20"/>
        </w:rPr>
        <w:t>. Blue tiles represent the Log</w:t>
      </w:r>
      <w:r w:rsidRPr="00FD1821">
        <w:rPr>
          <w:rFonts w:ascii="Arial" w:hAnsi="Arial" w:cs="Arial"/>
          <w:sz w:val="20"/>
          <w:szCs w:val="20"/>
          <w:vertAlign w:val="subscript"/>
        </w:rPr>
        <w:t xml:space="preserve">2 </w:t>
      </w:r>
      <w:r w:rsidRPr="00FD1821">
        <w:rPr>
          <w:rFonts w:ascii="Arial" w:hAnsi="Arial" w:cs="Arial"/>
          <w:sz w:val="20"/>
          <w:szCs w:val="20"/>
        </w:rPr>
        <w:t xml:space="preserve">fold change in expression of each gene, between samples inoculated with </w:t>
      </w:r>
      <w:r w:rsidRPr="00FD1821">
        <w:rPr>
          <w:rFonts w:ascii="Arial" w:hAnsi="Arial" w:cs="Arial"/>
          <w:i/>
          <w:sz w:val="20"/>
          <w:szCs w:val="20"/>
        </w:rPr>
        <w:t xml:space="preserve">F. </w:t>
      </w:r>
      <w:proofErr w:type="spellStart"/>
      <w:r w:rsidRPr="00FD1821">
        <w:rPr>
          <w:rFonts w:ascii="Arial" w:hAnsi="Arial" w:cs="Arial"/>
          <w:i/>
          <w:sz w:val="20"/>
          <w:szCs w:val="20"/>
        </w:rPr>
        <w:t>graminearum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or a control solution across three timepoints. The lighter the shade of blue, the higher the fold change, and therefore the more up-regulated that gene is by </w:t>
      </w:r>
      <w:r w:rsidRPr="00FD1821">
        <w:rPr>
          <w:rFonts w:ascii="Arial" w:hAnsi="Arial" w:cs="Arial"/>
          <w:i/>
          <w:sz w:val="20"/>
          <w:szCs w:val="20"/>
        </w:rPr>
        <w:t xml:space="preserve">Fusarium </w:t>
      </w:r>
      <w:r w:rsidRPr="00FD1821">
        <w:rPr>
          <w:rFonts w:ascii="Arial" w:hAnsi="Arial" w:cs="Arial"/>
          <w:sz w:val="20"/>
          <w:szCs w:val="20"/>
        </w:rPr>
        <w:t>application.</w:t>
      </w:r>
    </w:p>
    <w:p w14:paraId="16CBB2F2" w14:textId="77777777" w:rsidR="008412AE" w:rsidRPr="00FD1821" w:rsidRDefault="008412AE" w:rsidP="008412AE">
      <w:pPr>
        <w:jc w:val="both"/>
        <w:rPr>
          <w:rFonts w:ascii="Arial" w:hAnsi="Arial" w:cs="Arial"/>
          <w:sz w:val="20"/>
          <w:szCs w:val="20"/>
        </w:rPr>
      </w:pPr>
    </w:p>
    <w:p w14:paraId="1F9CBD6A" w14:textId="77777777" w:rsidR="008412AE" w:rsidRPr="00FD1821" w:rsidRDefault="008412AE" w:rsidP="008412AE">
      <w:pPr>
        <w:jc w:val="both"/>
        <w:rPr>
          <w:rFonts w:ascii="Arial" w:hAnsi="Arial" w:cs="Arial"/>
          <w:sz w:val="20"/>
          <w:szCs w:val="20"/>
        </w:rPr>
      </w:pPr>
    </w:p>
    <w:p w14:paraId="4370CB7F" w14:textId="3AD0A69F" w:rsidR="008412AE" w:rsidRPr="00FD1821" w:rsidRDefault="008412AE" w:rsidP="008412AE">
      <w:pPr>
        <w:jc w:val="both"/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noProof/>
          <w:sz w:val="20"/>
          <w:szCs w:val="20"/>
          <w:lang w:val="en-US"/>
        </w:rPr>
        <w:lastRenderedPageBreak/>
        <w:drawing>
          <wp:inline distT="0" distB="0" distL="0" distR="0" wp14:anchorId="267DE7DB" wp14:editId="36DD0557">
            <wp:extent cx="4454046" cy="7931888"/>
            <wp:effectExtent l="0" t="0" r="381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usarium responsive.pdf"/>
                    <pic:cNvPicPr/>
                  </pic:nvPicPr>
                  <pic:blipFill rotWithShape="1">
                    <a:blip r:embed="rId6"/>
                    <a:srcRect l="31580" t="3692" b="2155"/>
                    <a:stretch/>
                  </pic:blipFill>
                  <pic:spPr bwMode="auto">
                    <a:xfrm>
                      <a:off x="0" y="0"/>
                      <a:ext cx="4522786" cy="8054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00C970" w14:textId="6D18C5A3" w:rsidR="006C43DA" w:rsidRPr="00FD1821" w:rsidRDefault="008412AE" w:rsidP="00F73A0E">
      <w:pPr>
        <w:jc w:val="both"/>
        <w:rPr>
          <w:rFonts w:ascii="Arial" w:hAnsi="Arial" w:cs="Arial"/>
          <w:sz w:val="20"/>
          <w:szCs w:val="20"/>
        </w:rPr>
      </w:pPr>
      <w:r w:rsidRPr="00FD1821">
        <w:rPr>
          <w:rFonts w:ascii="Arial" w:hAnsi="Arial" w:cs="Arial"/>
          <w:b/>
          <w:sz w:val="20"/>
          <w:szCs w:val="20"/>
        </w:rPr>
        <w:t>Figure S2</w:t>
      </w:r>
      <w:r w:rsidRPr="00FD1821">
        <w:rPr>
          <w:rFonts w:ascii="Arial" w:hAnsi="Arial" w:cs="Arial"/>
          <w:sz w:val="20"/>
          <w:szCs w:val="20"/>
        </w:rPr>
        <w:t xml:space="preserve"> A subclade of the wheat serpin family that contains five </w:t>
      </w:r>
      <w:r w:rsidRPr="00FD1821">
        <w:rPr>
          <w:rFonts w:ascii="Arial" w:hAnsi="Arial" w:cs="Arial"/>
          <w:i/>
          <w:sz w:val="20"/>
          <w:szCs w:val="20"/>
        </w:rPr>
        <w:t xml:space="preserve">Fusarium </w:t>
      </w:r>
      <w:proofErr w:type="spellStart"/>
      <w:r w:rsidRPr="00FD1821">
        <w:rPr>
          <w:rFonts w:ascii="Arial" w:hAnsi="Arial" w:cs="Arial"/>
          <w:i/>
          <w:sz w:val="20"/>
          <w:szCs w:val="20"/>
        </w:rPr>
        <w:t>graminearum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responsive genes.</w:t>
      </w:r>
      <w:r w:rsidR="00F73A0E" w:rsidRPr="00FD1821">
        <w:rPr>
          <w:rFonts w:ascii="Arial" w:hAnsi="Arial" w:cs="Arial"/>
          <w:sz w:val="20"/>
          <w:szCs w:val="20"/>
        </w:rPr>
        <w:t xml:space="preserve"> </w:t>
      </w:r>
      <w:r w:rsidRPr="00FD1821">
        <w:rPr>
          <w:rFonts w:ascii="Arial" w:hAnsi="Arial" w:cs="Arial"/>
          <w:sz w:val="20"/>
          <w:szCs w:val="20"/>
        </w:rPr>
        <w:t xml:space="preserve">Colour is red if the serpin is up-regulated by </w:t>
      </w:r>
      <w:r w:rsidRPr="00FD1821">
        <w:rPr>
          <w:rFonts w:ascii="Arial" w:hAnsi="Arial" w:cs="Arial"/>
          <w:i/>
          <w:sz w:val="20"/>
          <w:szCs w:val="20"/>
        </w:rPr>
        <w:t xml:space="preserve">F. </w:t>
      </w:r>
      <w:proofErr w:type="spellStart"/>
      <w:r w:rsidRPr="00FD1821">
        <w:rPr>
          <w:rFonts w:ascii="Arial" w:hAnsi="Arial" w:cs="Arial"/>
          <w:i/>
          <w:sz w:val="20"/>
          <w:szCs w:val="20"/>
        </w:rPr>
        <w:t>graminearum</w:t>
      </w:r>
      <w:proofErr w:type="spellEnd"/>
      <w:r w:rsidRPr="00FD1821">
        <w:rPr>
          <w:rFonts w:ascii="Arial" w:hAnsi="Arial" w:cs="Arial"/>
          <w:sz w:val="20"/>
          <w:szCs w:val="20"/>
        </w:rPr>
        <w:t xml:space="preserve"> inoculation (compared to a mock-treatment), and blue if the gene is not responsive. Five out of nine </w:t>
      </w:r>
      <w:r w:rsidRPr="00FD1821">
        <w:rPr>
          <w:rFonts w:ascii="Arial" w:hAnsi="Arial" w:cs="Arial"/>
          <w:i/>
          <w:sz w:val="20"/>
          <w:szCs w:val="20"/>
        </w:rPr>
        <w:t xml:space="preserve">Fusarium </w:t>
      </w:r>
      <w:r w:rsidRPr="00FD1821">
        <w:rPr>
          <w:rFonts w:ascii="Arial" w:hAnsi="Arial" w:cs="Arial"/>
          <w:sz w:val="20"/>
          <w:szCs w:val="20"/>
        </w:rPr>
        <w:t xml:space="preserve">responsive serpins belonged to the same clade. Two </w:t>
      </w:r>
      <w:r w:rsidRPr="00FD1821">
        <w:rPr>
          <w:rFonts w:ascii="Arial" w:hAnsi="Arial" w:cs="Arial"/>
          <w:i/>
          <w:sz w:val="20"/>
          <w:szCs w:val="20"/>
        </w:rPr>
        <w:t>Fusarium</w:t>
      </w:r>
      <w:r w:rsidRPr="00FD1821">
        <w:rPr>
          <w:rFonts w:ascii="Arial" w:hAnsi="Arial" w:cs="Arial"/>
          <w:sz w:val="20"/>
          <w:szCs w:val="20"/>
        </w:rPr>
        <w:t xml:space="preserve"> responsive serpins in this clade on chromosome 4A are paralogues that share 80% identity in protein sequence. The </w:t>
      </w:r>
      <w:r w:rsidRPr="00FD1821">
        <w:rPr>
          <w:rFonts w:ascii="Arial" w:hAnsi="Arial" w:cs="Arial"/>
          <w:i/>
          <w:sz w:val="20"/>
          <w:szCs w:val="20"/>
        </w:rPr>
        <w:t>Fusarium</w:t>
      </w:r>
      <w:r w:rsidRPr="00FD1821">
        <w:rPr>
          <w:rFonts w:ascii="Arial" w:hAnsi="Arial" w:cs="Arial"/>
          <w:sz w:val="20"/>
          <w:szCs w:val="20"/>
        </w:rPr>
        <w:t xml:space="preserve"> responsive genes on the group 3 chromosomes are homoeologues that are 93% identical in protein sequence.</w:t>
      </w:r>
    </w:p>
    <w:sectPr w:rsidR="006C43DA" w:rsidRPr="00FD1821" w:rsidSect="005873A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Yu Mincho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2D41"/>
    <w:rsid w:val="00566D52"/>
    <w:rsid w:val="005873A6"/>
    <w:rsid w:val="008412AE"/>
    <w:rsid w:val="00A623E3"/>
    <w:rsid w:val="00A82E34"/>
    <w:rsid w:val="00B92D41"/>
    <w:rsid w:val="00D057D6"/>
    <w:rsid w:val="00D829A2"/>
    <w:rsid w:val="00E44AEC"/>
    <w:rsid w:val="00F73A0E"/>
    <w:rsid w:val="00FB4D0C"/>
    <w:rsid w:val="00FD1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E994908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2D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3A0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A0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2D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3A0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3A0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image" Target="media/image2.emf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472</Words>
  <Characters>2691</Characters>
  <Application>Microsoft Macintosh Word</Application>
  <DocSecurity>0</DocSecurity>
  <Lines>22</Lines>
  <Paragraphs>6</Paragraphs>
  <ScaleCrop>false</ScaleCrop>
  <Company>ucd</Company>
  <LinksUpToDate>false</LinksUpToDate>
  <CharactersWithSpaces>3157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Fiona Doohan</dc:creator>
  <cp:keywords/>
  <dc:description/>
  <cp:lastModifiedBy>Fiona Doohan</cp:lastModifiedBy>
  <cp:revision>4</cp:revision>
  <dcterms:created xsi:type="dcterms:W3CDTF">2019-02-12T14:51:00Z</dcterms:created>
  <dcterms:modified xsi:type="dcterms:W3CDTF">2019-02-13T10:06:00Z</dcterms:modified>
</cp:coreProperties>
</file>