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2D70" w:rsidRPr="00EA0F66" w:rsidRDefault="00ED2D70" w:rsidP="00ED2D70">
      <w:pPr>
        <w:pStyle w:val="Heading1"/>
        <w:tabs>
          <w:tab w:val="left" w:pos="1524"/>
          <w:tab w:val="center" w:pos="4680"/>
        </w:tabs>
        <w:spacing w:before="200" w:after="40" w:line="360" w:lineRule="auto"/>
        <w:rPr>
          <w:rFonts w:ascii="Calibri" w:hAnsi="Calibri"/>
          <w:color w:val="000000" w:themeColor="text1"/>
          <w:szCs w:val="24"/>
        </w:rPr>
      </w:pPr>
      <w:r>
        <w:rPr>
          <w:rFonts w:ascii="Calibri" w:hAnsi="Calibri"/>
          <w:color w:val="000000" w:themeColor="text1"/>
          <w:szCs w:val="24"/>
        </w:rPr>
        <w:tab/>
      </w:r>
      <w:r>
        <w:rPr>
          <w:rFonts w:ascii="Calibri" w:hAnsi="Calibri"/>
          <w:color w:val="000000" w:themeColor="text1"/>
          <w:szCs w:val="24"/>
        </w:rPr>
        <w:tab/>
      </w:r>
      <w:r w:rsidRPr="00EA0F66">
        <w:rPr>
          <w:rFonts w:ascii="Calibri" w:hAnsi="Calibri"/>
          <w:color w:val="000000" w:themeColor="text1"/>
          <w:szCs w:val="24"/>
        </w:rPr>
        <w:t>Supplementary Data</w:t>
      </w:r>
    </w:p>
    <w:p w:rsidR="00ED2D70" w:rsidRPr="00EA0F66" w:rsidRDefault="00ED2D70" w:rsidP="00ED2D70">
      <w:pPr>
        <w:pStyle w:val="BodyText"/>
        <w:ind w:left="720" w:hanging="720"/>
        <w:rPr>
          <w:color w:val="000000" w:themeColor="text1"/>
        </w:rPr>
      </w:pPr>
      <w:r w:rsidRPr="00EA0F66">
        <w:rPr>
          <w:b/>
          <w:color w:val="000000" w:themeColor="text1"/>
        </w:rPr>
        <w:t>Table S1</w:t>
      </w:r>
      <w:r w:rsidRPr="00EA0F66">
        <w:rPr>
          <w:color w:val="000000" w:themeColor="text1"/>
        </w:rPr>
        <w:t>: Estimated rejection rate (50,000 Monte Carlo Replicates) when the distal SNP was located in another chromosome (The simulation setting was the same as the one used to generate Figures 2 and 3, with the difference here that the proximal marker and the QTL were in one chromosome and the distal marker was in a randomly chosen position of a different chromosome).</w:t>
      </w:r>
    </w:p>
    <w:p w:rsidR="00ED2D70" w:rsidRPr="00EA0F66" w:rsidRDefault="00ED2D70" w:rsidP="00ED2D70">
      <w:pPr>
        <w:pStyle w:val="BodyText"/>
        <w:rPr>
          <w:color w:val="000000" w:themeColor="text1"/>
        </w:rPr>
      </w:pPr>
    </w:p>
    <w:p w:rsidR="00ED2D70" w:rsidRPr="00EA0F66" w:rsidRDefault="00464534" w:rsidP="00ED2D70">
      <w:pPr>
        <w:pStyle w:val="BodyText"/>
        <w:rPr>
          <w:rFonts w:ascii="Calibri" w:hAnsi="Calibri"/>
          <w:color w:val="000000" w:themeColor="text1"/>
        </w:rPr>
      </w:pPr>
      <w:r>
        <w:rPr>
          <w:rFonts w:ascii="Calibri" w:hAnsi="Calibri"/>
          <w:noProof/>
          <w:color w:val="000000" w:themeColor="text1"/>
        </w:rPr>
        <w:object w:dxaOrig="12480" w:dyaOrig="8340" w14:anchorId="42076F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35.7pt;height:290.95pt;mso-width-percent:0;mso-height-percent:0;mso-width-percent:0;mso-height-percent:0" o:ole="">
            <v:imagedata r:id="rId4" o:title=""/>
          </v:shape>
          <o:OLEObject Type="Embed" ProgID="Excel.Sheet.12" ShapeID="_x0000_i1025" DrawAspect="Content" ObjectID="_1615107740" r:id="rId5"/>
        </w:object>
      </w:r>
    </w:p>
    <w:p w:rsidR="00ED2D70" w:rsidRPr="00EA0F66" w:rsidRDefault="00ED2D70" w:rsidP="00ED2D70">
      <w:pPr>
        <w:pStyle w:val="Heading1"/>
        <w:spacing w:before="200" w:after="40" w:line="360" w:lineRule="auto"/>
        <w:jc w:val="center"/>
        <w:rPr>
          <w:rFonts w:ascii="Calibri" w:hAnsi="Calibri"/>
          <w:color w:val="000000" w:themeColor="text1"/>
          <w:szCs w:val="24"/>
        </w:rPr>
      </w:pPr>
    </w:p>
    <w:p w:rsidR="00ED2D70" w:rsidRPr="00EA0F66" w:rsidRDefault="00ED2D70" w:rsidP="00ED2D70">
      <w:pPr>
        <w:pStyle w:val="Heading1"/>
        <w:spacing w:before="200" w:after="40" w:line="360" w:lineRule="auto"/>
        <w:jc w:val="center"/>
        <w:rPr>
          <w:rFonts w:ascii="Calibri" w:hAnsi="Calibri"/>
          <w:color w:val="000000" w:themeColor="text1"/>
          <w:szCs w:val="24"/>
        </w:rPr>
      </w:pPr>
    </w:p>
    <w:p w:rsidR="00ED2D70" w:rsidRPr="00EA0F66" w:rsidRDefault="00ED2D70" w:rsidP="00ED2D70">
      <w:pPr>
        <w:pStyle w:val="BodyText"/>
        <w:rPr>
          <w:color w:val="000000" w:themeColor="text1"/>
        </w:rPr>
      </w:pPr>
    </w:p>
    <w:p w:rsidR="00ED2D70" w:rsidRPr="00EA0F66" w:rsidRDefault="00ED2D70" w:rsidP="00ED2D70">
      <w:pPr>
        <w:pStyle w:val="BodyText"/>
        <w:rPr>
          <w:color w:val="000000" w:themeColor="text1"/>
        </w:rPr>
      </w:pPr>
    </w:p>
    <w:p w:rsidR="00ED2D70" w:rsidRPr="00EA0F66" w:rsidRDefault="00ED2D70" w:rsidP="00ED2D70">
      <w:pPr>
        <w:pStyle w:val="BodyText"/>
        <w:rPr>
          <w:color w:val="000000" w:themeColor="text1"/>
        </w:rPr>
      </w:pPr>
    </w:p>
    <w:p w:rsidR="00ED2D70" w:rsidRPr="00EA0F66" w:rsidRDefault="00ED2D70" w:rsidP="00ED2D70">
      <w:pPr>
        <w:pStyle w:val="BodyText"/>
        <w:rPr>
          <w:color w:val="000000" w:themeColor="text1"/>
        </w:rPr>
      </w:pPr>
    </w:p>
    <w:p w:rsidR="00ED2D70" w:rsidRPr="00EA0F66" w:rsidRDefault="00ED2D70" w:rsidP="00ED2D70">
      <w:pPr>
        <w:pStyle w:val="BodyText"/>
        <w:rPr>
          <w:color w:val="000000" w:themeColor="text1"/>
        </w:rPr>
      </w:pPr>
      <w:r w:rsidRPr="00EA0F66">
        <w:rPr>
          <w:noProof/>
          <w:color w:val="000000" w:themeColor="text1"/>
          <w:lang w:val="da-DK" w:eastAsia="da-DK"/>
        </w:rPr>
        <w:lastRenderedPageBreak/>
        <w:drawing>
          <wp:inline distT="0" distB="0" distL="0" distR="0" wp14:anchorId="2B8C8748" wp14:editId="492EAF12">
            <wp:extent cx="4966335" cy="4641613"/>
            <wp:effectExtent l="0" t="0" r="12065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8989" cy="4644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D70" w:rsidRPr="00EA0F66" w:rsidRDefault="00ED2D70" w:rsidP="00ED2D70">
      <w:pPr>
        <w:pStyle w:val="BodyText"/>
        <w:jc w:val="both"/>
        <w:rPr>
          <w:rFonts w:ascii="Calibri" w:hAnsi="Calibri"/>
          <w:color w:val="000000" w:themeColor="text1"/>
        </w:rPr>
      </w:pPr>
      <w:r w:rsidRPr="00EA0F66">
        <w:rPr>
          <w:b/>
          <w:color w:val="000000" w:themeColor="text1"/>
        </w:rPr>
        <w:t>Figure  S1</w:t>
      </w:r>
      <w:r w:rsidRPr="00EA0F66">
        <w:rPr>
          <w:color w:val="000000" w:themeColor="text1"/>
        </w:rPr>
        <w:t xml:space="preserve">. </w:t>
      </w:r>
      <w:r w:rsidRPr="00EA0F66">
        <w:rPr>
          <w:rFonts w:ascii="Calibri" w:hAnsi="Calibri"/>
          <w:color w:val="000000" w:themeColor="text1"/>
        </w:rPr>
        <w:t>Empirical rejection rates versus physical distance between the proximal and distal marker by sample size. The simulation setting contained a single QTL 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z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i</m:t>
            </m:r>
          </m:sub>
        </m:sSub>
      </m:oMath>
      <w:r w:rsidRPr="00EA0F66">
        <w:rPr>
          <w:rFonts w:ascii="Calibri" w:eastAsiaTheme="minorEastAsia" w:hAnsi="Calibri"/>
          <w:color w:val="000000" w:themeColor="text1"/>
        </w:rPr>
        <w:t xml:space="preserve">) with an additive effect that explained </w:t>
      </w:r>
      <w:r w:rsidRPr="00EA0F66">
        <w:rPr>
          <w:rFonts w:ascii="Calibri" w:hAnsi="Calibri"/>
          <w:color w:val="000000" w:themeColor="text1"/>
        </w:rPr>
        <w:t>1% of the phenotypic variance and an infinitesimal additive effect that explained 49% of the variance. The infinitesimal effect was strictly additive with 500 randomly chosen loci each having IID effects from a normal distribution. The empirical model considered two SNPs with no causal effect. One of them 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1i</m:t>
            </m:r>
          </m:sub>
        </m:sSub>
      </m:oMath>
      <w:r w:rsidRPr="00EA0F66">
        <w:rPr>
          <w:rFonts w:ascii="Calibri" w:hAnsi="Calibri"/>
          <w:color w:val="000000" w:themeColor="text1"/>
        </w:rPr>
        <w:t>), was adjacent to the QTL and the other one 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2i</m:t>
            </m:r>
          </m:sub>
        </m:sSub>
      </m:oMath>
      <w:r w:rsidRPr="00EA0F66">
        <w:rPr>
          <w:rFonts w:ascii="Calibri" w:hAnsi="Calibri"/>
          <w:color w:val="000000" w:themeColor="text1"/>
        </w:rPr>
        <w:t xml:space="preserve">) was placed at increasing distance from the pair </w:t>
      </w:r>
      <w:r w:rsidRPr="00EA0F66">
        <w:rPr>
          <w:rFonts w:ascii="Calibri" w:eastAsiaTheme="minorEastAsia" w:hAnsi="Calibri"/>
          <w:color w:val="000000" w:themeColor="text1"/>
        </w:rPr>
        <w:t>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1i</m:t>
            </m:r>
          </m:sub>
        </m:sSub>
        <m:r>
          <w:rPr>
            <w:rFonts w:ascii="Cambria Math" w:hAnsi="Cambria Math"/>
            <w:color w:val="000000" w:themeColor="text1"/>
          </w:rPr>
          <m:t>,</m:t>
        </m:r>
        <m:sSub>
          <m:sSubPr>
            <m:ctrlPr>
              <w:rPr>
                <w:rFonts w:ascii="Cambria Math" w:hAnsi="Cambria Math"/>
                <w:i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z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i</m:t>
            </m:r>
          </m:sub>
        </m:sSub>
      </m:oMath>
      <w:r w:rsidRPr="00EA0F66">
        <w:rPr>
          <w:rFonts w:ascii="Calibri" w:eastAsiaTheme="minorEastAsia" w:hAnsi="Calibri"/>
          <w:color w:val="000000" w:themeColor="text1"/>
        </w:rPr>
        <w:t>)</w:t>
      </w:r>
      <w:r w:rsidRPr="00EA0F66">
        <w:rPr>
          <w:rFonts w:ascii="Calibri" w:hAnsi="Calibri"/>
          <w:color w:val="000000" w:themeColor="text1"/>
        </w:rPr>
        <w:t xml:space="preserve">. Rejection of the null hypothesis (no interaction between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1i</m:t>
            </m:r>
          </m:sub>
        </m:sSub>
      </m:oMath>
      <w:r w:rsidRPr="00EA0F66">
        <w:rPr>
          <w:rFonts w:ascii="Calibri" w:eastAsiaTheme="minorEastAsia" w:hAnsi="Calibri"/>
          <w:color w:val="000000" w:themeColor="text1"/>
        </w:rPr>
        <w:t xml:space="preserve"> and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2i</m:t>
            </m:r>
          </m:sub>
        </m:sSub>
        <m:r>
          <w:rPr>
            <w:rFonts w:ascii="Cambria Math" w:hAnsi="Cambria Math"/>
            <w:color w:val="000000" w:themeColor="text1"/>
          </w:rPr>
          <m:t xml:space="preserve">) </m:t>
        </m:r>
      </m:oMath>
      <w:r w:rsidRPr="00EA0F66">
        <w:rPr>
          <w:rFonts w:ascii="Calibri" w:hAnsi="Calibri"/>
          <w:color w:val="000000" w:themeColor="text1"/>
        </w:rPr>
        <w:t>was conducted at a 0.05 significance level. Empirical rejection rates above 0.05 are indicative of phantom epistasis.</w:t>
      </w:r>
    </w:p>
    <w:p w:rsidR="00ED2D70" w:rsidRPr="00EA0F66" w:rsidRDefault="00ED2D70" w:rsidP="00ED2D70">
      <w:pPr>
        <w:pStyle w:val="BodyText"/>
        <w:rPr>
          <w:rFonts w:ascii="Calibri" w:hAnsi="Calibri"/>
          <w:color w:val="000000" w:themeColor="text1"/>
        </w:rPr>
      </w:pPr>
    </w:p>
    <w:p w:rsidR="00ED2D70" w:rsidRPr="00EA0F66" w:rsidRDefault="00ED2D70" w:rsidP="00ED2D70">
      <w:pPr>
        <w:pStyle w:val="BodyText"/>
        <w:rPr>
          <w:rFonts w:ascii="Calibri" w:hAnsi="Calibri"/>
          <w:color w:val="000000" w:themeColor="text1"/>
        </w:rPr>
      </w:pPr>
      <w:r w:rsidRPr="00EA0F66">
        <w:rPr>
          <w:rFonts w:ascii="Calibri" w:hAnsi="Calibri"/>
          <w:noProof/>
          <w:color w:val="000000" w:themeColor="text1"/>
          <w:lang w:val="da-DK" w:eastAsia="da-DK"/>
        </w:rPr>
        <w:lastRenderedPageBreak/>
        <w:drawing>
          <wp:inline distT="0" distB="0" distL="0" distR="0" wp14:anchorId="1EFF1E2E" wp14:editId="3C359FFB">
            <wp:extent cx="5943600" cy="55181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1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D70" w:rsidRPr="00EA0F66" w:rsidRDefault="00ED2D70" w:rsidP="00ED2D70">
      <w:pPr>
        <w:pStyle w:val="BodyText"/>
        <w:jc w:val="both"/>
        <w:rPr>
          <w:rFonts w:ascii="Calibri" w:hAnsi="Calibri"/>
          <w:color w:val="000000" w:themeColor="text1"/>
        </w:rPr>
      </w:pPr>
      <w:r w:rsidRPr="00EA0F66">
        <w:rPr>
          <w:b/>
          <w:color w:val="000000" w:themeColor="text1"/>
        </w:rPr>
        <w:t>Figure  S2</w:t>
      </w:r>
      <w:r w:rsidRPr="00EA0F66">
        <w:rPr>
          <w:color w:val="000000" w:themeColor="text1"/>
        </w:rPr>
        <w:t xml:space="preserve">. </w:t>
      </w:r>
      <w:r w:rsidRPr="00EA0F66">
        <w:rPr>
          <w:rFonts w:ascii="Calibri" w:hAnsi="Calibri"/>
          <w:color w:val="000000" w:themeColor="text1"/>
        </w:rPr>
        <w:t>Empirical rejection rates versus physical distance between the proximal and distal marker. In the simulation, there were three marker-QTL pairs: 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1i</m:t>
            </m:r>
          </m:sub>
        </m:sSub>
        <m:r>
          <w:rPr>
            <w:rFonts w:ascii="Cambria Math" w:eastAsiaTheme="minorEastAsia" w:hAnsi="Cambria Math"/>
            <w:color w:val="000000" w:themeColor="text1"/>
          </w:rPr>
          <m:t>,</m:t>
        </m:r>
        <m:sSub>
          <m:sSubPr>
            <m:ctrlPr>
              <w:rPr>
                <w:rFonts w:ascii="Cambria Math" w:eastAsiaTheme="minorEastAsia" w:hAnsi="Cambria Math"/>
                <w:i/>
                <w:color w:val="000000" w:themeColor="text1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</w:rPr>
              <m:t>z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</w:rPr>
              <m:t>1i</m:t>
            </m:r>
          </m:sub>
        </m:sSub>
      </m:oMath>
      <w:r w:rsidRPr="00EA0F66">
        <w:rPr>
          <w:rFonts w:ascii="Calibri" w:hAnsi="Calibri"/>
          <w:color w:val="000000" w:themeColor="text1"/>
        </w:rPr>
        <w:t>), 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2i</m:t>
            </m:r>
          </m:sub>
        </m:sSub>
        <m:r>
          <w:rPr>
            <w:rFonts w:ascii="Cambria Math" w:eastAsiaTheme="minorEastAsia" w:hAnsi="Cambria Math"/>
            <w:color w:val="000000" w:themeColor="text1"/>
          </w:rPr>
          <m:t>,</m:t>
        </m:r>
        <m:sSub>
          <m:sSubPr>
            <m:ctrlPr>
              <w:rPr>
                <w:rFonts w:ascii="Cambria Math" w:eastAsiaTheme="minorEastAsia" w:hAnsi="Cambria Math"/>
                <w:i/>
                <w:color w:val="000000" w:themeColor="text1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</w:rPr>
              <m:t>z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</w:rPr>
              <m:t>2i</m:t>
            </m:r>
          </m:sub>
        </m:sSub>
      </m:oMath>
      <w:r w:rsidRPr="00EA0F66">
        <w:rPr>
          <w:rFonts w:ascii="Calibri" w:hAnsi="Calibri"/>
          <w:color w:val="000000" w:themeColor="text1"/>
        </w:rPr>
        <w:t>) and 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3i</m:t>
            </m:r>
          </m:sub>
        </m:sSub>
        <m:r>
          <w:rPr>
            <w:rFonts w:ascii="Cambria Math" w:eastAsiaTheme="minorEastAsia" w:hAnsi="Cambria Math"/>
            <w:color w:val="000000" w:themeColor="text1"/>
          </w:rPr>
          <m:t>,</m:t>
        </m:r>
        <m:sSub>
          <m:sSubPr>
            <m:ctrlPr>
              <w:rPr>
                <w:rFonts w:ascii="Cambria Math" w:eastAsiaTheme="minorEastAsia" w:hAnsi="Cambria Math"/>
                <w:i/>
                <w:color w:val="000000" w:themeColor="text1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</w:rPr>
              <m:t>z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</w:rPr>
              <m:t>3i</m:t>
            </m:r>
          </m:sub>
        </m:sSub>
      </m:oMath>
      <w:r w:rsidRPr="00EA0F66">
        <w:rPr>
          <w:rFonts w:ascii="Calibri" w:hAnsi="Calibri"/>
          <w:color w:val="000000" w:themeColor="text1"/>
        </w:rPr>
        <w:t>). Each QTL explained 1/300 of the phenotypic variance, all had additive effects. The empirical model considered two SNPs 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1i</m:t>
            </m:r>
          </m:sub>
        </m:sSub>
      </m:oMath>
      <w:r w:rsidRPr="00EA0F66">
        <w:rPr>
          <w:rFonts w:ascii="Calibri" w:eastAsiaTheme="minorEastAsia" w:hAnsi="Calibri"/>
          <w:color w:val="000000" w:themeColor="text1"/>
        </w:rPr>
        <w:t xml:space="preserve"> and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3i</m:t>
            </m:r>
          </m:sub>
        </m:sSub>
      </m:oMath>
      <w:r w:rsidRPr="00EA0F66">
        <w:rPr>
          <w:rFonts w:ascii="Calibri" w:hAnsi="Calibri"/>
          <w:color w:val="000000" w:themeColor="text1"/>
        </w:rPr>
        <w:t xml:space="preserve">) with no causal effect. Rejection of the null hypothesis (no interaction between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1i</m:t>
            </m:r>
          </m:sub>
        </m:sSub>
      </m:oMath>
      <w:r w:rsidRPr="00EA0F66">
        <w:rPr>
          <w:rFonts w:ascii="Calibri" w:eastAsiaTheme="minorEastAsia" w:hAnsi="Calibri"/>
          <w:color w:val="000000" w:themeColor="text1"/>
        </w:rPr>
        <w:t xml:space="preserve"> and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3i</m:t>
            </m:r>
          </m:sub>
        </m:sSub>
        <m:r>
          <w:rPr>
            <w:rFonts w:ascii="Cambria Math" w:hAnsi="Cambria Math"/>
            <w:color w:val="000000" w:themeColor="text1"/>
          </w:rPr>
          <m:t xml:space="preserve">) </m:t>
        </m:r>
      </m:oMath>
      <w:r w:rsidRPr="00EA0F66">
        <w:rPr>
          <w:rFonts w:ascii="Calibri" w:hAnsi="Calibri"/>
          <w:color w:val="000000" w:themeColor="text1"/>
        </w:rPr>
        <w:t>was conducted at a 0.05 significance level. Empirical rejection rates above 0.05 are indicative of phantom epistasis.</w:t>
      </w:r>
    </w:p>
    <w:p w:rsidR="00ED2D70" w:rsidRPr="00EA0F66" w:rsidRDefault="00ED2D70" w:rsidP="00ED2D70">
      <w:pPr>
        <w:pStyle w:val="BodyText"/>
        <w:rPr>
          <w:rFonts w:ascii="Calibri" w:hAnsi="Calibri"/>
          <w:color w:val="000000" w:themeColor="text1"/>
        </w:rPr>
      </w:pPr>
    </w:p>
    <w:p w:rsidR="00ED2D70" w:rsidRPr="00EA0F66" w:rsidRDefault="00997670" w:rsidP="00ED2D70">
      <w:pPr>
        <w:pStyle w:val="BodyText"/>
        <w:rPr>
          <w:color w:val="000000" w:themeColor="text1"/>
        </w:rPr>
      </w:pPr>
      <w:r w:rsidRPr="00997670">
        <w:rPr>
          <w:color w:val="000000" w:themeColor="text1"/>
        </w:rPr>
        <w:lastRenderedPageBreak/>
        <w:drawing>
          <wp:inline distT="0" distB="0" distL="0" distR="0" wp14:anchorId="00089419" wp14:editId="007B0BEF">
            <wp:extent cx="5943600" cy="54006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2D70" w:rsidRPr="00EA0F66">
        <w:rPr>
          <w:color w:val="000000" w:themeColor="text1"/>
        </w:rPr>
        <w:br w:type="textWrapping" w:clear="all"/>
      </w:r>
    </w:p>
    <w:p w:rsidR="00ED2D70" w:rsidRPr="00EA0F66" w:rsidRDefault="00ED2D70" w:rsidP="00ED2D70">
      <w:pPr>
        <w:pStyle w:val="BodyText"/>
        <w:jc w:val="both"/>
        <w:rPr>
          <w:rFonts w:ascii="Calibri" w:hAnsi="Calibri"/>
          <w:color w:val="000000" w:themeColor="text1"/>
        </w:rPr>
      </w:pPr>
      <w:r w:rsidRPr="00EA0F66">
        <w:rPr>
          <w:b/>
          <w:color w:val="000000" w:themeColor="text1"/>
        </w:rPr>
        <w:t>Figure  S3</w:t>
      </w:r>
      <w:r w:rsidRPr="00EA0F66">
        <w:rPr>
          <w:color w:val="000000" w:themeColor="text1"/>
        </w:rPr>
        <w:t xml:space="preserve">. </w:t>
      </w:r>
      <w:r w:rsidRPr="00EA0F66">
        <w:rPr>
          <w:rFonts w:ascii="Calibri" w:hAnsi="Calibri"/>
          <w:color w:val="000000" w:themeColor="text1"/>
        </w:rPr>
        <w:t xml:space="preserve">Empirical rejection rates </w:t>
      </w:r>
      <w:r w:rsidR="00997670">
        <w:rPr>
          <w:rFonts w:ascii="Calibri" w:hAnsi="Calibri"/>
          <w:color w:val="000000" w:themeColor="text1"/>
        </w:rPr>
        <w:t xml:space="preserve">for </w:t>
      </w:r>
      <w:r w:rsidR="00997670" w:rsidRPr="00997670">
        <w:rPr>
          <w:rFonts w:ascii="Calibri" w:hAnsi="Calibri"/>
          <w:color w:val="000000" w:themeColor="text1"/>
          <w:u w:val="single"/>
        </w:rPr>
        <w:t>N=250K</w:t>
      </w:r>
      <w:r w:rsidR="00997670">
        <w:rPr>
          <w:rFonts w:ascii="Calibri" w:hAnsi="Calibri"/>
          <w:color w:val="000000" w:themeColor="text1"/>
        </w:rPr>
        <w:t xml:space="preserve"> </w:t>
      </w:r>
      <w:r w:rsidRPr="00EA0F66">
        <w:rPr>
          <w:rFonts w:ascii="Calibri" w:hAnsi="Calibri"/>
          <w:color w:val="000000" w:themeColor="text1"/>
        </w:rPr>
        <w:t xml:space="preserve">versus physical distance between the proximal and distal marker. The simulation setting used to obtain the results in the figure were as those used to generate Figures 2 and 3 (single QTL with strictly additive effects) with the difference that </w:t>
      </w:r>
      <w:bookmarkStart w:id="0" w:name="_GoBack"/>
      <w:bookmarkEnd w:id="0"/>
      <w:r w:rsidRPr="00EA0F66">
        <w:rPr>
          <w:rFonts w:ascii="Calibri" w:hAnsi="Calibri"/>
          <w:color w:val="000000" w:themeColor="text1"/>
        </w:rPr>
        <w:t>the QTL in this setting explained 50% of the phenotypic variance. The empirical model considered two SNPs with no causal effect. One of them 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1i</m:t>
            </m:r>
          </m:sub>
        </m:sSub>
      </m:oMath>
      <w:r w:rsidRPr="00EA0F66">
        <w:rPr>
          <w:rFonts w:ascii="Calibri" w:hAnsi="Calibri"/>
          <w:color w:val="000000" w:themeColor="text1"/>
        </w:rPr>
        <w:t>), was adjacent to the QTL and the other one 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2i</m:t>
            </m:r>
          </m:sub>
        </m:sSub>
      </m:oMath>
      <w:r w:rsidRPr="00EA0F66">
        <w:rPr>
          <w:rFonts w:ascii="Calibri" w:hAnsi="Calibri"/>
          <w:color w:val="000000" w:themeColor="text1"/>
        </w:rPr>
        <w:t xml:space="preserve">) was placed at increasing distance from the pair </w:t>
      </w:r>
      <w:r w:rsidRPr="00EA0F66">
        <w:rPr>
          <w:rFonts w:ascii="Calibri" w:eastAsiaTheme="minorEastAsia" w:hAnsi="Calibri"/>
          <w:color w:val="000000" w:themeColor="text1"/>
        </w:rPr>
        <w:t>(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1i</m:t>
            </m:r>
          </m:sub>
        </m:sSub>
        <m:r>
          <w:rPr>
            <w:rFonts w:ascii="Cambria Math" w:hAnsi="Cambria Math"/>
            <w:color w:val="000000" w:themeColor="text1"/>
          </w:rPr>
          <m:t>,</m:t>
        </m:r>
        <m:sSub>
          <m:sSubPr>
            <m:ctrlPr>
              <w:rPr>
                <w:rFonts w:ascii="Cambria Math" w:hAnsi="Cambria Math"/>
                <w:i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z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i</m:t>
            </m:r>
          </m:sub>
        </m:sSub>
      </m:oMath>
      <w:r w:rsidRPr="00EA0F66">
        <w:rPr>
          <w:rFonts w:ascii="Calibri" w:eastAsiaTheme="minorEastAsia" w:hAnsi="Calibri"/>
          <w:color w:val="000000" w:themeColor="text1"/>
        </w:rPr>
        <w:t>)</w:t>
      </w:r>
      <w:r w:rsidRPr="00EA0F66">
        <w:rPr>
          <w:rFonts w:ascii="Calibri" w:hAnsi="Calibri"/>
          <w:color w:val="000000" w:themeColor="text1"/>
        </w:rPr>
        <w:t xml:space="preserve">. Rejection of the null hypothesis (no interaction between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1i</m:t>
            </m:r>
          </m:sub>
        </m:sSub>
      </m:oMath>
      <w:r w:rsidRPr="00EA0F66">
        <w:rPr>
          <w:rFonts w:ascii="Calibri" w:eastAsiaTheme="minorEastAsia" w:hAnsi="Calibri"/>
          <w:color w:val="000000" w:themeColor="text1"/>
        </w:rPr>
        <w:t xml:space="preserve"> and </w:t>
      </w:r>
      <m:oMath>
        <m:sSub>
          <m:sSubPr>
            <m:ctrlPr>
              <w:rPr>
                <w:rFonts w:ascii="Cambria Math" w:hAnsi="Cambria Math"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2i</m:t>
            </m:r>
          </m:sub>
        </m:sSub>
        <m:r>
          <w:rPr>
            <w:rFonts w:ascii="Cambria Math" w:hAnsi="Cambria Math"/>
            <w:color w:val="000000" w:themeColor="text1"/>
          </w:rPr>
          <m:t xml:space="preserve">) </m:t>
        </m:r>
      </m:oMath>
      <w:r w:rsidRPr="00EA0F66">
        <w:rPr>
          <w:rFonts w:ascii="Calibri" w:hAnsi="Calibri"/>
          <w:color w:val="000000" w:themeColor="text1"/>
        </w:rPr>
        <w:t>was conducted at a 0.05 significance level. Empirical rejection rates above 0.05 are indicative of phantom epistasis.</w:t>
      </w:r>
    </w:p>
    <w:p w:rsidR="00ED2D70" w:rsidRPr="00EA0F66" w:rsidRDefault="00ED2D70" w:rsidP="00ED2D70">
      <w:pPr>
        <w:pStyle w:val="BodyText"/>
        <w:rPr>
          <w:rFonts w:ascii="Calibri" w:hAnsi="Calibri"/>
          <w:color w:val="000000" w:themeColor="text1"/>
        </w:rPr>
      </w:pPr>
    </w:p>
    <w:p w:rsidR="00F85124" w:rsidRDefault="00F85124" w:rsidP="00ED2D70"/>
    <w:sectPr w:rsidR="00F85124" w:rsidSect="00A6000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7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2D70"/>
    <w:rsid w:val="00464534"/>
    <w:rsid w:val="00562EAA"/>
    <w:rsid w:val="00997670"/>
    <w:rsid w:val="00A60009"/>
    <w:rsid w:val="00ED2D70"/>
    <w:rsid w:val="00F85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85804E"/>
  <w14:defaultImageDpi w14:val="32767"/>
  <w15:chartTrackingRefBased/>
  <w15:docId w15:val="{7C628D8B-67EF-DE41-96F5-1445AF46E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ED2D70"/>
    <w:pPr>
      <w:spacing w:after="200"/>
    </w:pPr>
  </w:style>
  <w:style w:type="paragraph" w:styleId="Heading1">
    <w:name w:val="heading 1"/>
    <w:basedOn w:val="Normal"/>
    <w:next w:val="BodyText"/>
    <w:link w:val="Heading1Char"/>
    <w:uiPriority w:val="9"/>
    <w:qFormat/>
    <w:rsid w:val="00ED2D7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C6EAB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2D70"/>
    <w:rPr>
      <w:rFonts w:asciiTheme="majorHAnsi" w:eastAsiaTheme="majorEastAsia" w:hAnsiTheme="majorHAnsi" w:cstheme="majorBidi"/>
      <w:b/>
      <w:bCs/>
      <w:color w:val="2C6EAB" w:themeColor="accent1" w:themeShade="B5"/>
      <w:sz w:val="32"/>
      <w:szCs w:val="32"/>
    </w:rPr>
  </w:style>
  <w:style w:type="paragraph" w:styleId="BodyText">
    <w:name w:val="Body Text"/>
    <w:basedOn w:val="Normal"/>
    <w:link w:val="BodyTextChar"/>
    <w:qFormat/>
    <w:rsid w:val="00ED2D70"/>
    <w:pPr>
      <w:spacing w:before="180" w:after="180"/>
    </w:pPr>
  </w:style>
  <w:style w:type="character" w:customStyle="1" w:styleId="BodyTextChar">
    <w:name w:val="Body Text Char"/>
    <w:basedOn w:val="DefaultParagraphFont"/>
    <w:link w:val="BodyText"/>
    <w:rsid w:val="00ED2D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webSettings" Target="webSettings.xml"/><Relationship Id="rId7" Type="http://schemas.openxmlformats.org/officeDocument/2006/relationships/image" Target="media/image3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package" Target="embeddings/Microsoft_Excel_Worksheet.xlsx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394</Words>
  <Characters>2248</Characters>
  <Application>Microsoft Office Word</Application>
  <DocSecurity>0</DocSecurity>
  <Lines>18</Lines>
  <Paragraphs>5</Paragraphs>
  <ScaleCrop>false</ScaleCrop>
  <Company/>
  <LinksUpToDate>false</LinksUpToDate>
  <CharactersWithSpaces>2637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Gustavo de los Campos</dc:creator>
  <cp:keywords/>
  <dc:description/>
  <cp:lastModifiedBy>Gustavo de los Campos</cp:lastModifiedBy>
  <cp:revision>2</cp:revision>
  <dcterms:created xsi:type="dcterms:W3CDTF">2019-03-26T16:15:00Z</dcterms:created>
  <dcterms:modified xsi:type="dcterms:W3CDTF">2019-03-26T16:15:00Z</dcterms:modified>
</cp:coreProperties>
</file>