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155" w:rsidRPr="00543BF4" w:rsidRDefault="00543BF4" w:rsidP="00543BF4">
      <w:pPr>
        <w:jc w:val="center"/>
        <w:rPr>
          <w:b/>
          <w:sz w:val="48"/>
          <w:szCs w:val="48"/>
        </w:rPr>
      </w:pPr>
      <w:r w:rsidRPr="00543BF4">
        <w:rPr>
          <w:b/>
          <w:sz w:val="48"/>
          <w:szCs w:val="48"/>
        </w:rPr>
        <w:t>Supplementary Materials</w:t>
      </w:r>
    </w:p>
    <w:p w:rsidR="00543BF4" w:rsidRDefault="00543BF4"/>
    <w:p w:rsidR="00543BF4" w:rsidRDefault="00543BF4" w:rsidP="00543BF4">
      <w:pPr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Mitochondrial DNA fitness depends on nuclear genetic background in </w:t>
      </w:r>
      <w:r w:rsidRPr="00F25AC7">
        <w:rPr>
          <w:b/>
          <w:i/>
          <w:sz w:val="44"/>
          <w:szCs w:val="44"/>
        </w:rPr>
        <w:t xml:space="preserve">Drosophila </w:t>
      </w:r>
    </w:p>
    <w:p w:rsidR="00543BF4" w:rsidRDefault="00543BF4" w:rsidP="00543BF4">
      <w:pPr>
        <w:rPr>
          <w:b/>
          <w:sz w:val="44"/>
          <w:szCs w:val="44"/>
        </w:rPr>
      </w:pPr>
    </w:p>
    <w:p w:rsidR="00543BF4" w:rsidRDefault="00543BF4" w:rsidP="00543BF4">
      <w:pPr>
        <w:rPr>
          <w:sz w:val="24"/>
          <w:szCs w:val="24"/>
          <w:vertAlign w:val="superscript"/>
        </w:rPr>
      </w:pPr>
      <w:r w:rsidRPr="0014118E">
        <w:rPr>
          <w:sz w:val="24"/>
          <w:szCs w:val="24"/>
        </w:rPr>
        <w:t>Mossman</w:t>
      </w:r>
      <w:r>
        <w:rPr>
          <w:sz w:val="24"/>
          <w:szCs w:val="24"/>
        </w:rPr>
        <w:t xml:space="preserve"> J.A.*</w:t>
      </w:r>
      <w:r w:rsidRPr="00F25AC7">
        <w:rPr>
          <w:sz w:val="24"/>
          <w:szCs w:val="24"/>
          <w:vertAlign w:val="superscript"/>
        </w:rPr>
        <w:t>,</w:t>
      </w:r>
      <w:r w:rsidRPr="00F25AC7">
        <w:rPr>
          <w:rFonts w:ascii="Times New Roman" w:hAnsi="Times New Roman" w:cs="Times New Roman"/>
        </w:rPr>
        <w:t xml:space="preserve"> </w:t>
      </w:r>
      <w:r w:rsidRPr="00F25AC7">
        <w:rPr>
          <w:rFonts w:ascii="Times New Roman" w:hAnsi="Times New Roman" w:cs="Times New Roman"/>
          <w:vertAlign w:val="superscript"/>
        </w:rPr>
        <w:t>§</w:t>
      </w:r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Ge</w:t>
      </w:r>
      <w:proofErr w:type="spellEnd"/>
      <w:r>
        <w:rPr>
          <w:sz w:val="24"/>
          <w:szCs w:val="24"/>
        </w:rPr>
        <w:t xml:space="preserve"> Y.*, Navarro F.* and Rand D.M.</w:t>
      </w:r>
      <w:proofErr w:type="gramStart"/>
      <w:r>
        <w:rPr>
          <w:sz w:val="24"/>
          <w:szCs w:val="24"/>
        </w:rPr>
        <w:t>*</w:t>
      </w:r>
      <w:r w:rsidRPr="00D97EE7">
        <w:rPr>
          <w:rFonts w:ascii="Times New Roman" w:hAnsi="Times New Roman" w:cs="Times New Roman"/>
          <w:vertAlign w:val="superscript"/>
        </w:rPr>
        <w:t xml:space="preserve"> </w:t>
      </w:r>
      <w:r>
        <w:rPr>
          <w:rFonts w:ascii="Times New Roman" w:hAnsi="Times New Roman" w:cs="Times New Roman"/>
          <w:vertAlign w:val="superscript"/>
        </w:rPr>
        <w:t>,</w:t>
      </w:r>
      <w:r w:rsidRPr="00F25AC7">
        <w:rPr>
          <w:rFonts w:ascii="Times New Roman" w:hAnsi="Times New Roman" w:cs="Times New Roman"/>
          <w:vertAlign w:val="superscript"/>
        </w:rPr>
        <w:t>§</w:t>
      </w:r>
      <w:proofErr w:type="gramEnd"/>
    </w:p>
    <w:p w:rsidR="00543BF4" w:rsidRDefault="00543BF4" w:rsidP="00543BF4"/>
    <w:p w:rsidR="00543BF4" w:rsidRPr="00964DED" w:rsidRDefault="00543BF4" w:rsidP="00543BF4">
      <w:pPr>
        <w:spacing w:line="480" w:lineRule="auto"/>
        <w:rPr>
          <w:b/>
          <w:lang w:val="en-GB"/>
        </w:rPr>
      </w:pPr>
      <w:r>
        <w:rPr>
          <w:lang w:val="en-GB"/>
        </w:rPr>
        <w:t>*</w:t>
      </w:r>
      <w:r w:rsidRPr="00964DED">
        <w:rPr>
          <w:lang w:val="en-GB"/>
        </w:rPr>
        <w:t xml:space="preserve">Department of Ecology and Evolutionary Biology, </w:t>
      </w:r>
      <w:r>
        <w:rPr>
          <w:lang w:val="en-GB"/>
        </w:rPr>
        <w:t xml:space="preserve">80 Waterman Street, </w:t>
      </w:r>
      <w:r w:rsidRPr="00964DED">
        <w:rPr>
          <w:lang w:val="en-GB"/>
        </w:rPr>
        <w:t>Box G, Brown University, Providence, Rhode Island 02912, USA</w:t>
      </w:r>
    </w:p>
    <w:p w:rsidR="00543BF4" w:rsidRDefault="00543BF4" w:rsidP="00543BF4"/>
    <w:p w:rsidR="00543BF4" w:rsidRDefault="00543BF4" w:rsidP="00543BF4">
      <w:r>
        <w:rPr>
          <w:rFonts w:ascii="Times New Roman" w:hAnsi="Times New Roman" w:cs="Times New Roman"/>
        </w:rPr>
        <w:t>§</w:t>
      </w:r>
      <w:r>
        <w:t xml:space="preserve"> Corresponding authors: (</w:t>
      </w:r>
      <w:hyperlink r:id="rId8" w:history="1">
        <w:r w:rsidRPr="006C04E0">
          <w:rPr>
            <w:rStyle w:val="Hyperlink"/>
            <w:u w:val="none"/>
          </w:rPr>
          <w:t>jim_mossman@brown.edu</w:t>
        </w:r>
      </w:hyperlink>
      <w:r>
        <w:t>) (</w:t>
      </w:r>
      <w:hyperlink r:id="rId9" w:history="1">
        <w:r w:rsidRPr="00D97EE7">
          <w:rPr>
            <w:rStyle w:val="Hyperlink"/>
            <w:u w:val="none"/>
          </w:rPr>
          <w:t>David_Rand@Brown.edu</w:t>
        </w:r>
      </w:hyperlink>
      <w:r>
        <w:t>)</w:t>
      </w:r>
    </w:p>
    <w:p w:rsidR="00543BF4" w:rsidRDefault="00543BF4" w:rsidP="00543BF4">
      <w:pPr>
        <w:spacing w:line="480" w:lineRule="auto"/>
        <w:rPr>
          <w:b/>
          <w:lang w:val="en-GB"/>
        </w:rPr>
      </w:pPr>
    </w:p>
    <w:p w:rsidR="00543BF4" w:rsidRPr="00CA5410" w:rsidRDefault="00543BF4" w:rsidP="00543BF4">
      <w:pPr>
        <w:spacing w:line="480" w:lineRule="auto"/>
        <w:rPr>
          <w:b/>
          <w:lang w:val="en-GB"/>
        </w:rPr>
      </w:pPr>
      <w:r w:rsidRPr="00CA5410">
        <w:rPr>
          <w:b/>
          <w:lang w:val="en-GB"/>
        </w:rPr>
        <w:t>Corresponding author</w:t>
      </w:r>
      <w:r>
        <w:rPr>
          <w:b/>
          <w:lang w:val="en-GB"/>
        </w:rPr>
        <w:t>s’</w:t>
      </w:r>
      <w:r w:rsidRPr="00CA5410">
        <w:rPr>
          <w:b/>
          <w:lang w:val="en-GB"/>
        </w:rPr>
        <w:t xml:space="preserve"> address:</w:t>
      </w:r>
    </w:p>
    <w:p w:rsidR="00543BF4" w:rsidRPr="00CA5410" w:rsidRDefault="00543BF4" w:rsidP="00543BF4">
      <w:pPr>
        <w:spacing w:line="480" w:lineRule="auto"/>
        <w:rPr>
          <w:b/>
        </w:rPr>
      </w:pPr>
      <w:r w:rsidRPr="00964DED">
        <w:rPr>
          <w:lang w:val="en-GB"/>
        </w:rPr>
        <w:t xml:space="preserve">Department of Ecology and Evolutionary Biology, </w:t>
      </w:r>
      <w:r>
        <w:rPr>
          <w:lang w:val="en-GB"/>
        </w:rPr>
        <w:t xml:space="preserve">80 Waterman Street, </w:t>
      </w:r>
      <w:r w:rsidRPr="00964DED">
        <w:rPr>
          <w:lang w:val="en-GB"/>
        </w:rPr>
        <w:t>Box G, Brown University, Providence, Rhode Island 02912, USA</w:t>
      </w:r>
    </w:p>
    <w:p w:rsidR="00543BF4" w:rsidRDefault="00543BF4"/>
    <w:p w:rsidR="00543BF4" w:rsidRDefault="00543BF4"/>
    <w:p w:rsidR="00543BF4" w:rsidRDefault="00543BF4"/>
    <w:p w:rsidR="00543BF4" w:rsidRDefault="00543BF4"/>
    <w:p w:rsidR="00543BF4" w:rsidRDefault="00543BF4"/>
    <w:p w:rsidR="00543BF4" w:rsidRDefault="00543BF4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eastAsia="en-US"/>
        </w:rPr>
        <w:id w:val="1494985805"/>
        <w:docPartObj>
          <w:docPartGallery w:val="Table of Contents"/>
          <w:docPartUnique/>
        </w:docPartObj>
      </w:sdtPr>
      <w:sdtEndPr>
        <w:rPr>
          <w:rFonts w:eastAsiaTheme="minorHAnsi"/>
          <w:noProof/>
        </w:rPr>
      </w:sdtEndPr>
      <w:sdtContent>
        <w:p w:rsidR="00543BF4" w:rsidRDefault="00543BF4" w:rsidP="00543BF4">
          <w:pPr>
            <w:pStyle w:val="TOCHeading"/>
          </w:pPr>
          <w:r>
            <w:t>Contents</w:t>
          </w:r>
        </w:p>
        <w:p w:rsidR="00447AD5" w:rsidRDefault="000C2D40">
          <w:pPr>
            <w:pStyle w:val="TOC2"/>
            <w:rPr>
              <w:b w:val="0"/>
              <w:bCs w:val="0"/>
              <w:noProof/>
              <w:sz w:val="22"/>
              <w:szCs w:val="22"/>
            </w:rPr>
          </w:pPr>
          <w:r>
            <w:fldChar w:fldCharType="begin"/>
          </w:r>
          <w:r w:rsidR="00543BF4">
            <w:instrText xml:space="preserve"> TOC \o "1-3" \h \z \u </w:instrText>
          </w:r>
          <w:r>
            <w:fldChar w:fldCharType="separate"/>
          </w:r>
          <w:hyperlink w:anchor="_Toc360596" w:history="1">
            <w:r w:rsidR="00447AD5" w:rsidRPr="00C0087C">
              <w:rPr>
                <w:rStyle w:val="Hyperlink"/>
                <w:noProof/>
              </w:rPr>
              <w:t>(i) SNP variation in our laboratory stocks</w:t>
            </w:r>
            <w:r w:rsidR="00447A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7AD5">
              <w:rPr>
                <w:noProof/>
                <w:webHidden/>
              </w:rPr>
              <w:instrText xml:space="preserve"> PAGEREF _Toc360596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7AD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7AD5" w:rsidRDefault="00224F7D">
          <w:pPr>
            <w:pStyle w:val="TOC2"/>
            <w:rPr>
              <w:b w:val="0"/>
              <w:bCs w:val="0"/>
              <w:noProof/>
              <w:sz w:val="22"/>
              <w:szCs w:val="22"/>
            </w:rPr>
          </w:pPr>
          <w:hyperlink w:anchor="_Toc360597" w:history="1">
            <w:r w:rsidR="00447AD5" w:rsidRPr="00C0087C">
              <w:rPr>
                <w:rStyle w:val="Hyperlink"/>
                <w:noProof/>
              </w:rPr>
              <w:t>(ii) Summary of population sizes in cages</w:t>
            </w:r>
            <w:r w:rsidR="00447AD5">
              <w:rPr>
                <w:noProof/>
                <w:webHidden/>
              </w:rPr>
              <w:tab/>
            </w:r>
            <w:r w:rsidR="000C2D40">
              <w:rPr>
                <w:noProof/>
                <w:webHidden/>
              </w:rPr>
              <w:fldChar w:fldCharType="begin"/>
            </w:r>
            <w:r w:rsidR="00447AD5">
              <w:rPr>
                <w:noProof/>
                <w:webHidden/>
              </w:rPr>
              <w:instrText xml:space="preserve"> PAGEREF _Toc360597 \h </w:instrText>
            </w:r>
            <w:r w:rsidR="000C2D40">
              <w:rPr>
                <w:noProof/>
                <w:webHidden/>
              </w:rPr>
            </w:r>
            <w:r w:rsidR="000C2D40">
              <w:rPr>
                <w:noProof/>
                <w:webHidden/>
              </w:rPr>
              <w:fldChar w:fldCharType="separate"/>
            </w:r>
            <w:r w:rsidR="00447AD5">
              <w:rPr>
                <w:noProof/>
                <w:webHidden/>
              </w:rPr>
              <w:t>7</w:t>
            </w:r>
            <w:r w:rsidR="000C2D40">
              <w:rPr>
                <w:noProof/>
                <w:webHidden/>
              </w:rPr>
              <w:fldChar w:fldCharType="end"/>
            </w:r>
          </w:hyperlink>
        </w:p>
        <w:p w:rsidR="00447AD5" w:rsidRDefault="00224F7D">
          <w:pPr>
            <w:pStyle w:val="TOC2"/>
            <w:rPr>
              <w:b w:val="0"/>
              <w:bCs w:val="0"/>
              <w:noProof/>
              <w:sz w:val="22"/>
              <w:szCs w:val="22"/>
            </w:rPr>
          </w:pPr>
          <w:hyperlink w:anchor="_Toc360598" w:history="1">
            <w:r w:rsidR="00447AD5" w:rsidRPr="00C0087C">
              <w:rPr>
                <w:rStyle w:val="Hyperlink"/>
                <w:noProof/>
                <w:bdr w:val="none" w:sz="0" w:space="0" w:color="auto" w:frame="1"/>
                <w:shd w:val="clear" w:color="auto" w:fill="FFFFFF"/>
              </w:rPr>
              <w:t>(iii) Supporting References</w:t>
            </w:r>
            <w:r w:rsidR="00447AD5">
              <w:rPr>
                <w:noProof/>
                <w:webHidden/>
              </w:rPr>
              <w:tab/>
            </w:r>
            <w:r w:rsidR="000C2D40">
              <w:rPr>
                <w:noProof/>
                <w:webHidden/>
              </w:rPr>
              <w:fldChar w:fldCharType="begin"/>
            </w:r>
            <w:r w:rsidR="00447AD5">
              <w:rPr>
                <w:noProof/>
                <w:webHidden/>
              </w:rPr>
              <w:instrText xml:space="preserve"> PAGEREF _Toc360598 \h </w:instrText>
            </w:r>
            <w:r w:rsidR="000C2D40">
              <w:rPr>
                <w:noProof/>
                <w:webHidden/>
              </w:rPr>
            </w:r>
            <w:r w:rsidR="000C2D40">
              <w:rPr>
                <w:noProof/>
                <w:webHidden/>
              </w:rPr>
              <w:fldChar w:fldCharType="separate"/>
            </w:r>
            <w:r w:rsidR="00447AD5">
              <w:rPr>
                <w:noProof/>
                <w:webHidden/>
              </w:rPr>
              <w:t>9</w:t>
            </w:r>
            <w:r w:rsidR="000C2D40">
              <w:rPr>
                <w:noProof/>
                <w:webHidden/>
              </w:rPr>
              <w:fldChar w:fldCharType="end"/>
            </w:r>
          </w:hyperlink>
        </w:p>
        <w:p w:rsidR="00543BF4" w:rsidRDefault="000C2D40" w:rsidP="00543BF4">
          <w:r>
            <w:rPr>
              <w:b/>
              <w:bCs/>
              <w:noProof/>
            </w:rPr>
            <w:fldChar w:fldCharType="end"/>
          </w:r>
        </w:p>
      </w:sdtContent>
    </w:sdt>
    <w:p w:rsidR="00543BF4" w:rsidRDefault="00543BF4" w:rsidP="00543BF4">
      <w:pPr>
        <w:rPr>
          <w:b/>
        </w:rPr>
        <w:sectPr w:rsidR="00543BF4" w:rsidSect="00543BF4">
          <w:footerReference w:type="default" r:id="rId10"/>
          <w:pgSz w:w="12240" w:h="15840"/>
          <w:pgMar w:top="1152" w:right="994" w:bottom="1152" w:left="1166" w:header="720" w:footer="720" w:gutter="0"/>
          <w:cols w:space="720"/>
          <w:docGrid w:linePitch="360"/>
        </w:sectPr>
      </w:pPr>
    </w:p>
    <w:p w:rsidR="00543BF4" w:rsidRDefault="00543BF4" w:rsidP="00543BF4">
      <w:pPr>
        <w:pStyle w:val="Heading2"/>
      </w:pPr>
      <w:bookmarkStart w:id="0" w:name="_Toc360596"/>
      <w:r w:rsidRPr="00CE34D2">
        <w:lastRenderedPageBreak/>
        <w:t>(</w:t>
      </w:r>
      <w:proofErr w:type="spellStart"/>
      <w:r w:rsidRPr="00CE34D2">
        <w:t>i</w:t>
      </w:r>
      <w:proofErr w:type="spellEnd"/>
      <w:r>
        <w:t xml:space="preserve">) </w:t>
      </w:r>
      <w:r w:rsidRPr="00CE34D2">
        <w:t xml:space="preserve">SNP variation in </w:t>
      </w:r>
      <w:r>
        <w:t>our laboratory stocks</w:t>
      </w:r>
      <w:bookmarkEnd w:id="0"/>
    </w:p>
    <w:p w:rsidR="00543BF4" w:rsidRPr="00543BF4" w:rsidRDefault="00543BF4" w:rsidP="00543BF4"/>
    <w:p w:rsidR="00D66EF1" w:rsidRPr="004417CD" w:rsidRDefault="00543BF4" w:rsidP="00D66EF1">
      <w:pPr>
        <w:spacing w:line="360" w:lineRule="auto"/>
        <w:jc w:val="both"/>
      </w:pPr>
      <w:r w:rsidRPr="004417CD">
        <w:t xml:space="preserve">We estimated the number of SNPs in four out of ten </w:t>
      </w:r>
      <w:r w:rsidR="00D66EF1" w:rsidRPr="004417CD">
        <w:t>genotypes used in this study</w:t>
      </w:r>
      <w:r w:rsidR="006C70AD">
        <w:t xml:space="preserve">, following a previous method </w:t>
      </w:r>
      <w:r w:rsidR="000C2D40">
        <w:fldChar w:fldCharType="begin"/>
      </w:r>
      <w:r w:rsidR="006C70AD">
        <w:instrText xml:space="preserve"> ADDIN EN.CITE &lt;EndNote&gt;&lt;Cite&gt;&lt;Author&gt;Mossman&lt;/Author&gt;&lt;Year&gt;2019&lt;/Year&gt;&lt;RecNum&gt;5240&lt;/RecNum&gt;&lt;DisplayText&gt;(Mossman et al. 2019)&lt;/DisplayText&gt;&lt;record&gt;&lt;rec-number&gt;5240&lt;/rec-number&gt;&lt;foreign-keys&gt;&lt;key app="EN" db-id="wzvv0wp0wxpadcetxe25sr51adrwavs02ffz"&gt;5240&lt;/key&gt;&lt;/foreign-keys&gt;&lt;ref-type name="Journal Article"&gt;17&lt;/ref-type&gt;&lt;contributors&gt;&lt;authors&gt;&lt;author&gt;Mossman, Jim A.,&lt;/author&gt;&lt;author&gt;Mabeza, Russyan M.S.,&lt;/author&gt;&lt;author&gt;Blake, Emma,&lt;/author&gt;&lt;author&gt;Mehta, Neha,&lt;/author&gt;&lt;author&gt;Rand, David M.&lt;/author&gt;&lt;/authors&gt;&lt;/contributors&gt;&lt;titles&gt;&lt;title&gt;Age of both parents influences reproduction and egg dumping behavior in Drosophila melanogaster&lt;/title&gt;&lt;secondary-title&gt;Journal of Heredity&lt;/secondary-title&gt;&lt;/titles&gt;&lt;periodical&gt;&lt;full-title&gt;Journal of Heredity&lt;/full-title&gt;&lt;/periodical&gt;&lt;dates&gt;&lt;year&gt;2019&lt;/year&gt;&lt;/dates&gt;&lt;urls&gt;&lt;/urls&gt;&lt;electronic-resource-num&gt;10.1093/jhered/esz009&lt;/electronic-resource-num&gt;&lt;/record&gt;&lt;/Cite&gt;&lt;/EndNote&gt;</w:instrText>
      </w:r>
      <w:r w:rsidR="000C2D40">
        <w:fldChar w:fldCharType="separate"/>
      </w:r>
      <w:r w:rsidR="006C70AD">
        <w:rPr>
          <w:noProof/>
        </w:rPr>
        <w:t>(</w:t>
      </w:r>
      <w:bookmarkStart w:id="1" w:name="_GoBack"/>
      <w:bookmarkEnd w:id="1"/>
      <w:r w:rsidR="00224F7D">
        <w:rPr>
          <w:noProof/>
        </w:rPr>
        <w:fldChar w:fldCharType="begin"/>
      </w:r>
      <w:r w:rsidR="00224F7D">
        <w:rPr>
          <w:noProof/>
        </w:rPr>
        <w:instrText xml:space="preserve"> HYPERLINK \l "_ENREF_3" \o "Mossman, 2019 #5240" </w:instrText>
      </w:r>
      <w:r w:rsidR="00224F7D">
        <w:rPr>
          <w:noProof/>
        </w:rPr>
      </w:r>
      <w:r w:rsidR="00224F7D">
        <w:rPr>
          <w:noProof/>
        </w:rPr>
        <w:fldChar w:fldCharType="separate"/>
      </w:r>
      <w:r w:rsidR="00224F7D">
        <w:rPr>
          <w:noProof/>
        </w:rPr>
        <w:t>Mossman et al. 2019</w:t>
      </w:r>
      <w:r w:rsidR="00224F7D">
        <w:rPr>
          <w:noProof/>
        </w:rPr>
        <w:fldChar w:fldCharType="end"/>
      </w:r>
      <w:r w:rsidR="006C70AD">
        <w:rPr>
          <w:noProof/>
        </w:rPr>
        <w:t>)</w:t>
      </w:r>
      <w:r w:rsidR="000C2D40">
        <w:fldChar w:fldCharType="end"/>
      </w:r>
      <w:r w:rsidR="00D66EF1" w:rsidRPr="004417CD">
        <w:t xml:space="preserve">. These </w:t>
      </w:r>
      <w:r w:rsidR="006C70AD">
        <w:t xml:space="preserve">genotypes </w:t>
      </w:r>
      <w:r w:rsidR="00D66EF1" w:rsidRPr="004417CD">
        <w:t xml:space="preserve">were: </w:t>
      </w:r>
      <w:proofErr w:type="spellStart"/>
      <w:r w:rsidR="00D66EF1" w:rsidRPr="004417CD">
        <w:rPr>
          <w:rFonts w:ascii="Calibri" w:eastAsia="Calibri" w:hAnsi="Calibri" w:cs="Times New Roman"/>
          <w:i/>
          <w:color w:val="000000"/>
        </w:rPr>
        <w:t>OreR;OreR</w:t>
      </w:r>
      <w:proofErr w:type="spellEnd"/>
      <w:r w:rsidR="00D66EF1" w:rsidRPr="004417CD">
        <w:rPr>
          <w:rFonts w:ascii="Calibri" w:eastAsia="Calibri" w:hAnsi="Calibri" w:cs="Times New Roman"/>
          <w:color w:val="000000"/>
        </w:rPr>
        <w:t xml:space="preserve">, </w:t>
      </w:r>
      <w:proofErr w:type="spellStart"/>
      <w:r w:rsidR="00D66EF1" w:rsidRPr="004417CD">
        <w:rPr>
          <w:rFonts w:ascii="Calibri" w:eastAsia="Calibri" w:hAnsi="Calibri" w:cs="Times New Roman"/>
          <w:i/>
          <w:color w:val="000000"/>
        </w:rPr>
        <w:t>siI;OreR</w:t>
      </w:r>
      <w:proofErr w:type="spellEnd"/>
      <w:r w:rsidR="00D66EF1" w:rsidRPr="004417CD">
        <w:rPr>
          <w:rFonts w:ascii="Calibri" w:eastAsia="Calibri" w:hAnsi="Calibri" w:cs="Times New Roman"/>
          <w:color w:val="000000"/>
        </w:rPr>
        <w:t xml:space="preserve">, </w:t>
      </w:r>
      <w:proofErr w:type="spellStart"/>
      <w:r w:rsidR="00D66EF1" w:rsidRPr="004417CD">
        <w:rPr>
          <w:rFonts w:ascii="Calibri" w:eastAsia="Calibri" w:hAnsi="Calibri" w:cs="Times New Roman"/>
          <w:i/>
          <w:color w:val="000000"/>
        </w:rPr>
        <w:t>OreR;Aut</w:t>
      </w:r>
      <w:proofErr w:type="spellEnd"/>
      <w:r w:rsidR="00D66EF1" w:rsidRPr="004417CD">
        <w:rPr>
          <w:rFonts w:ascii="Calibri" w:eastAsia="Calibri" w:hAnsi="Calibri" w:cs="Times New Roman"/>
          <w:color w:val="000000"/>
        </w:rPr>
        <w:t xml:space="preserve">, </w:t>
      </w:r>
      <w:proofErr w:type="spellStart"/>
      <w:r w:rsidR="00D66EF1" w:rsidRPr="004417CD">
        <w:rPr>
          <w:rFonts w:ascii="Calibri" w:eastAsia="Calibri" w:hAnsi="Calibri" w:cs="Times New Roman"/>
          <w:i/>
          <w:color w:val="000000"/>
        </w:rPr>
        <w:t>siI;Aut</w:t>
      </w:r>
      <w:proofErr w:type="spellEnd"/>
      <w:r w:rsidR="00D66EF1" w:rsidRPr="004417CD">
        <w:rPr>
          <w:rFonts w:ascii="Calibri" w:eastAsia="Calibri" w:hAnsi="Calibri" w:cs="Times New Roman"/>
          <w:i/>
          <w:color w:val="000000"/>
        </w:rPr>
        <w:t xml:space="preserve"> </w:t>
      </w:r>
      <w:r w:rsidR="00D66EF1" w:rsidRPr="004417CD">
        <w:rPr>
          <w:rFonts w:ascii="Calibri" w:eastAsia="Calibri" w:hAnsi="Calibri" w:cs="Times New Roman"/>
          <w:color w:val="000000"/>
        </w:rPr>
        <w:t>and the sequencing data were obtained from</w:t>
      </w:r>
      <w:r w:rsidRPr="004417CD">
        <w:t xml:space="preserve"> RNA-</w:t>
      </w:r>
      <w:proofErr w:type="spellStart"/>
      <w:r w:rsidRPr="004417CD">
        <w:t>seq</w:t>
      </w:r>
      <w:proofErr w:type="spellEnd"/>
      <w:r w:rsidRPr="004417CD">
        <w:t xml:space="preserve"> dataset from a previous experiment </w:t>
      </w:r>
      <w:r w:rsidR="000C2D40" w:rsidRPr="004417CD">
        <w:fldChar w:fldCharType="begin"/>
      </w:r>
      <w:r w:rsidR="00D66EF1" w:rsidRPr="004417CD">
        <w:instrText xml:space="preserve"> ADDIN EN.CITE &lt;EndNote&gt;&lt;Cite&gt;&lt;Author&gt;Mossman&lt;/Author&gt;&lt;Year&gt;2016&lt;/Year&gt;&lt;RecNum&gt;5121&lt;/RecNum&gt;&lt;DisplayText&gt;(Mossman et al. 2016; Mossman et al. 2017)&lt;/DisplayText&gt;&lt;record&gt;&lt;rec-number&gt;5121&lt;/rec-number&gt;&lt;foreign-keys&gt;&lt;key app="EN" db-id="wzvv0wp0wxpadcetxe25sr51adrwavs02ffz"&gt;5121&lt;/key&gt;&lt;/foreign-keys&gt;&lt;ref-type name="Journal Article"&gt;17&lt;/ref-type&gt;&lt;contributors&gt;&lt;authors&gt;&lt;author&gt;Mossman, Jim A.&lt;/author&gt;&lt;author&gt;Tross, Jennifer G.&lt;/author&gt;&lt;author&gt;Li, Nan&lt;/author&gt;&lt;author&gt;Wu, Zhijin&lt;/author&gt;&lt;author&gt;Rand, David M.&lt;/author&gt;&lt;/authors&gt;&lt;/contributors&gt;&lt;titles&gt;&lt;title&gt;Mitochondrial-Nuclear Interactions Mediate Sex-Specific Transcriptional Profiles in Drosophila&lt;/title&gt;&lt;secondary-title&gt;Genetics&lt;/secondary-title&gt;&lt;/titles&gt;&lt;periodical&gt;&lt;full-title&gt;Genetics&lt;/full-title&gt;&lt;/periodical&gt;&lt;pages&gt;613-630&lt;/pages&gt;&lt;volume&gt;204&lt;/volume&gt;&lt;number&gt;2&lt;/number&gt;&lt;dates&gt;&lt;year&gt;2016&lt;/year&gt;&lt;/dates&gt;&lt;urls&gt;&lt;/urls&gt;&lt;electronic-resource-num&gt;10.1534/genetics.116.192328&lt;/electronic-resource-num&gt;&lt;/record&gt;&lt;/Cite&gt;&lt;Cite&gt;&lt;Author&gt;Mossman&lt;/Author&gt;&lt;Year&gt;2017&lt;/Year&gt;&lt;RecNum&gt;5145&lt;/RecNum&gt;&lt;record&gt;&lt;rec-number&gt;5145&lt;/rec-number&gt;&lt;foreign-keys&gt;&lt;key app="EN" db-id="wzvv0wp0wxpadcetxe25sr51adrwavs02ffz"&gt;5145&lt;/key&gt;&lt;/foreign-keys&gt;&lt;ref-type name="Journal Article"&gt;17&lt;/ref-type&gt;&lt;contributors&gt;&lt;authors&gt;&lt;author&gt;Mossman, Jim A.&lt;/author&gt;&lt;author&gt;Tross, Jennifer G.&lt;/author&gt;&lt;author&gt;Jourjine, Nick A.&lt;/author&gt;&lt;author&gt;Li, Nan&lt;/author&gt;&lt;author&gt;Wu, Zhijin&lt;/author&gt;&lt;author&gt;Rand, David M.&lt;/author&gt;&lt;/authors&gt;&lt;/contributors&gt;&lt;titles&gt;&lt;title&gt;Mitonuclear Interactions Mediate Transcriptional Responses to Hypoxia in Drosophila&lt;/title&gt;&lt;secondary-title&gt;Molecular Biology and Evolution&lt;/secondary-title&gt;&lt;/titles&gt;&lt;periodical&gt;&lt;full-title&gt;Molecular Biology and Evolution&lt;/full-title&gt;&lt;abbr-1&gt;Mol Biol Evol&lt;/abbr-1&gt;&lt;/periodical&gt;&lt;pages&gt;447-466&lt;/pages&gt;&lt;volume&gt;34&lt;/volume&gt;&lt;number&gt;2&lt;/number&gt;&lt;dates&gt;&lt;year&gt;2017&lt;/year&gt;&lt;/dates&gt;&lt;isbn&gt;0737-4038&lt;/isbn&gt;&lt;urls&gt;&lt;related-urls&gt;&lt;url&gt;http://dx.doi.org/10.1093/molbev/msw246&lt;/url&gt;&lt;/related-urls&gt;&lt;/urls&gt;&lt;electronic-resource-num&gt;10.1093/molbev/msw246&lt;/electronic-resource-num&gt;&lt;/record&gt;&lt;/Cite&gt;&lt;/EndNote&gt;</w:instrText>
      </w:r>
      <w:r w:rsidR="000C2D40" w:rsidRPr="004417CD">
        <w:fldChar w:fldCharType="separate"/>
      </w:r>
      <w:r w:rsidR="00D66EF1" w:rsidRPr="004417CD">
        <w:rPr>
          <w:noProof/>
        </w:rPr>
        <w:t>(</w:t>
      </w:r>
      <w:hyperlink w:anchor="_ENREF_5" w:tooltip="Mossman, 2016 #5121" w:history="1">
        <w:r w:rsidR="00224F7D" w:rsidRPr="004417CD">
          <w:rPr>
            <w:noProof/>
          </w:rPr>
          <w:t>Mossman et al. 2016</w:t>
        </w:r>
      </w:hyperlink>
      <w:r w:rsidR="00D66EF1" w:rsidRPr="004417CD">
        <w:rPr>
          <w:noProof/>
        </w:rPr>
        <w:t xml:space="preserve">; </w:t>
      </w:r>
      <w:hyperlink w:anchor="_ENREF_4" w:tooltip="Mossman, 2017 #5145" w:history="1">
        <w:r w:rsidR="00224F7D" w:rsidRPr="004417CD">
          <w:rPr>
            <w:noProof/>
          </w:rPr>
          <w:t>Mossman et al. 2017</w:t>
        </w:r>
      </w:hyperlink>
      <w:r w:rsidR="00D66EF1" w:rsidRPr="004417CD">
        <w:rPr>
          <w:noProof/>
        </w:rPr>
        <w:t>)</w:t>
      </w:r>
      <w:r w:rsidR="000C2D40" w:rsidRPr="004417CD">
        <w:fldChar w:fldCharType="end"/>
      </w:r>
      <w:r w:rsidRPr="004417CD">
        <w:t xml:space="preserve">. </w:t>
      </w:r>
      <w:r w:rsidR="00D66EF1" w:rsidRPr="004417CD">
        <w:t>The rationale for using RNA-</w:t>
      </w:r>
      <w:proofErr w:type="spellStart"/>
      <w:r w:rsidR="00D66EF1" w:rsidRPr="004417CD">
        <w:t>seq</w:t>
      </w:r>
      <w:proofErr w:type="spellEnd"/>
      <w:r w:rsidR="00D66EF1" w:rsidRPr="004417CD">
        <w:t xml:space="preserve"> data to screen for SNPs is that we can estimate the number of variants in the samples </w:t>
      </w:r>
      <w:proofErr w:type="spellStart"/>
      <w:r w:rsidR="00D66EF1" w:rsidRPr="004417CD">
        <w:t>transcriptome</w:t>
      </w:r>
      <w:proofErr w:type="spellEnd"/>
      <w:r w:rsidR="00D66EF1" w:rsidRPr="004417CD">
        <w:t>-wide</w:t>
      </w:r>
      <w:r w:rsidR="004417CD">
        <w:t xml:space="preserve"> with much higher resolution than microsatellite or targeted SNP genotyping</w:t>
      </w:r>
      <w:r w:rsidR="00D66EF1" w:rsidRPr="004417CD">
        <w:t xml:space="preserve">. </w:t>
      </w:r>
    </w:p>
    <w:p w:rsidR="00543BF4" w:rsidRDefault="00D66EF1" w:rsidP="00543BF4">
      <w:pPr>
        <w:spacing w:line="360" w:lineRule="auto"/>
        <w:jc w:val="both"/>
      </w:pPr>
      <w:r w:rsidRPr="004417CD">
        <w:t>For each genotype w</w:t>
      </w:r>
      <w:r w:rsidR="00543BF4" w:rsidRPr="004417CD">
        <w:t>e selected 3 x RNA-</w:t>
      </w:r>
      <w:proofErr w:type="spellStart"/>
      <w:r w:rsidR="00543BF4" w:rsidRPr="004417CD">
        <w:t>seq</w:t>
      </w:r>
      <w:proofErr w:type="spellEnd"/>
      <w:r w:rsidR="00543BF4" w:rsidRPr="004417CD">
        <w:t xml:space="preserve"> libraries (technical replicates), each corresponding to a pool of 30 male flies that were 5</w:t>
      </w:r>
      <w:r w:rsidR="00543BF4">
        <w:t xml:space="preserve"> days old at the time of the experiment. The 30 males were snap-frozen in liquid nitrogen prior to RNA extraction. </w:t>
      </w:r>
      <w:proofErr w:type="gramStart"/>
      <w:r w:rsidR="00543BF4">
        <w:t>mRNA</w:t>
      </w:r>
      <w:proofErr w:type="gramEnd"/>
      <w:r w:rsidR="00543BF4">
        <w:t xml:space="preserve"> was extracted using Direct </w:t>
      </w:r>
      <w:proofErr w:type="spellStart"/>
      <w:r w:rsidR="00543BF4">
        <w:t>Dynabeads</w:t>
      </w:r>
      <w:proofErr w:type="spellEnd"/>
      <w:r w:rsidR="00543BF4">
        <w:t xml:space="preserve"> (Invitrogen) following manufacturer’s instructions, followed by RNA Fragmentation (RNA Fragmentation Kit: </w:t>
      </w:r>
      <w:proofErr w:type="spellStart"/>
      <w:r w:rsidR="00543BF4">
        <w:t>Ambion</w:t>
      </w:r>
      <w:proofErr w:type="spellEnd"/>
      <w:r w:rsidR="00543BF4">
        <w:t xml:space="preserve">). </w:t>
      </w:r>
      <w:proofErr w:type="spellStart"/>
      <w:proofErr w:type="gramStart"/>
      <w:r w:rsidR="00543BF4">
        <w:t>cDNA</w:t>
      </w:r>
      <w:proofErr w:type="spellEnd"/>
      <w:proofErr w:type="gramEnd"/>
      <w:r w:rsidR="00543BF4">
        <w:t xml:space="preserve"> first and second strand synthesis followed mRNA extraction using random </w:t>
      </w:r>
      <w:proofErr w:type="spellStart"/>
      <w:r w:rsidR="00543BF4">
        <w:t>hexamer</w:t>
      </w:r>
      <w:proofErr w:type="spellEnd"/>
      <w:r w:rsidR="00543BF4">
        <w:t xml:space="preserve"> primer (Invitrogen) and Super Script III Reverse transcriptase Kit (Invitrogen). For </w:t>
      </w:r>
      <w:proofErr w:type="spellStart"/>
      <w:r w:rsidR="00543BF4">
        <w:t>Illumina</w:t>
      </w:r>
      <w:proofErr w:type="spellEnd"/>
      <w:r w:rsidR="00543BF4">
        <w:t xml:space="preserve"> RNA-</w:t>
      </w:r>
      <w:proofErr w:type="spellStart"/>
      <w:r w:rsidR="00543BF4">
        <w:t>seq</w:t>
      </w:r>
      <w:proofErr w:type="spellEnd"/>
      <w:r w:rsidR="00543BF4">
        <w:t xml:space="preserve"> we performed end-repair using the End-It DNA End Repair Kit (</w:t>
      </w:r>
      <w:proofErr w:type="spellStart"/>
      <w:r w:rsidR="00543BF4">
        <w:t>Epicentre</w:t>
      </w:r>
      <w:proofErr w:type="spellEnd"/>
      <w:r w:rsidR="00543BF4">
        <w:t xml:space="preserve">), following manufacturer’s instructions, then addition of A-bases to 3’ ends using </w:t>
      </w:r>
      <w:proofErr w:type="spellStart"/>
      <w:r w:rsidR="00543BF4">
        <w:t>Klenow</w:t>
      </w:r>
      <w:proofErr w:type="spellEnd"/>
      <w:r w:rsidR="00543BF4">
        <w:t xml:space="preserve"> fragment (3’-&gt;5’ </w:t>
      </w:r>
      <w:proofErr w:type="spellStart"/>
      <w:r w:rsidR="00543BF4">
        <w:t>exo</w:t>
      </w:r>
      <w:proofErr w:type="spellEnd"/>
      <w:r w:rsidR="00543BF4">
        <w:t xml:space="preserve">-). We then adapter ligated and PCR-enriched our libraries. Prior to pre-sequencing quality control, we size selected using </w:t>
      </w:r>
      <w:proofErr w:type="spellStart"/>
      <w:r w:rsidR="00543BF4">
        <w:t>LabChip</w:t>
      </w:r>
      <w:proofErr w:type="spellEnd"/>
      <w:r w:rsidR="00543BF4">
        <w:t xml:space="preserve"> XT DNA 750 Chip (Perkin Elmer) then performed 50bp single end RNA-</w:t>
      </w:r>
      <w:proofErr w:type="spellStart"/>
      <w:r w:rsidR="00543BF4">
        <w:t>seq</w:t>
      </w:r>
      <w:proofErr w:type="spellEnd"/>
      <w:r w:rsidR="00543BF4">
        <w:t xml:space="preserve"> on the </w:t>
      </w:r>
      <w:proofErr w:type="spellStart"/>
      <w:r w:rsidR="00543BF4">
        <w:t>Illumina</w:t>
      </w:r>
      <w:proofErr w:type="spellEnd"/>
      <w:r w:rsidR="00543BF4">
        <w:t xml:space="preserve"> </w:t>
      </w:r>
      <w:proofErr w:type="spellStart"/>
      <w:r w:rsidR="00543BF4">
        <w:t>HiSeq</w:t>
      </w:r>
      <w:proofErr w:type="spellEnd"/>
      <w:r w:rsidR="00543BF4">
        <w:t xml:space="preserve"> platform at Brown University’s Genomics Core Facility.</w:t>
      </w:r>
    </w:p>
    <w:p w:rsidR="00543BF4" w:rsidRDefault="00543BF4" w:rsidP="00543BF4">
      <w:pPr>
        <w:spacing w:line="360" w:lineRule="auto"/>
        <w:jc w:val="both"/>
      </w:pPr>
      <w:r>
        <w:t xml:space="preserve">After sequencing we performed quality control on the sequence data. </w:t>
      </w:r>
      <w:proofErr w:type="spellStart"/>
      <w:r w:rsidRPr="005053ED">
        <w:t>Fastq</w:t>
      </w:r>
      <w:proofErr w:type="spellEnd"/>
      <w:r>
        <w:t xml:space="preserve"> files were first filtered of reads with more than 80% of bases scoring less than Q20 (</w:t>
      </w:r>
      <w:proofErr w:type="spellStart"/>
      <w:r>
        <w:t>phred</w:t>
      </w:r>
      <w:proofErr w:type="spellEnd"/>
      <w:r>
        <w:t xml:space="preserve"> scaled 99% accuracy) using </w:t>
      </w:r>
      <w:proofErr w:type="spellStart"/>
      <w:r>
        <w:t>FastQC</w:t>
      </w:r>
      <w:proofErr w:type="spellEnd"/>
      <w:r>
        <w:t xml:space="preserve"> v0.10.1 (</w:t>
      </w:r>
      <w:hyperlink r:id="rId11" w:tgtFrame="pmc_ext" w:history="1">
        <w:r>
          <w:rPr>
            <w:rStyle w:val="Hyperlink"/>
            <w:color w:val="642A8F"/>
            <w:shd w:val="clear" w:color="auto" w:fill="FFFFFF"/>
          </w:rPr>
          <w:t>http://www.bioinformatics.babraham.ac.uk/projects/fastqc</w:t>
        </w:r>
      </w:hyperlink>
      <w:r>
        <w:t xml:space="preserve">). Adapters were clipped using </w:t>
      </w:r>
      <w:proofErr w:type="spellStart"/>
      <w:r>
        <w:t>FastX</w:t>
      </w:r>
      <w:proofErr w:type="spellEnd"/>
      <w:r>
        <w:t>-Toolkit v2.6 (</w:t>
      </w:r>
      <w:r w:rsidRPr="00CA236D">
        <w:t>http://hannonlab.cshl.edu/fastx_toolkit/</w:t>
      </w:r>
      <w:r>
        <w:t xml:space="preserve">) and sequences were aligned to the reference </w:t>
      </w:r>
      <w:r w:rsidRPr="00CA236D">
        <w:rPr>
          <w:i/>
        </w:rPr>
        <w:t>Drosophila melanogaster</w:t>
      </w:r>
      <w:r>
        <w:t xml:space="preserve"> (dm3) genome along with splice junction mapping using </w:t>
      </w:r>
      <w:proofErr w:type="spellStart"/>
      <w:r>
        <w:t>Tophat</w:t>
      </w:r>
      <w:proofErr w:type="spellEnd"/>
      <w:r>
        <w:t xml:space="preserve"> v2.0.8b </w:t>
      </w:r>
      <w:r w:rsidR="000C2D40">
        <w:fldChar w:fldCharType="begin"/>
      </w:r>
      <w:r w:rsidR="00D66EF1">
        <w:instrText xml:space="preserve"> ADDIN EN.CITE &lt;EndNote&gt;&lt;Cite&gt;&lt;Author&gt;Trapnell&lt;/Author&gt;&lt;Year&gt;2012&lt;/Year&gt;&lt;RecNum&gt;4533&lt;/RecNum&gt;&lt;DisplayText&gt;(Trapnell et al. 2012)&lt;/DisplayText&gt;&lt;record&gt;&lt;rec-number&gt;4533&lt;/rec-number&gt;&lt;foreign-keys&gt;&lt;key app="EN" db-id="wzvv0wp0wxpadcetxe25sr51adrwavs02ffz"&gt;4533&lt;/key&gt;&lt;/foreign-keys&gt;&lt;ref-type name="Journal Article"&gt;17&lt;/ref-type&gt;&lt;contributors&gt;&lt;authors&gt;&lt;author&gt;Trapnell, Cole&lt;/author&gt;&lt;author&gt;Roberts, Adam&lt;/author&gt;&lt;author&gt;Goff, Loyal&lt;/author&gt;&lt;author&gt;Pertea, Geo&lt;/author&gt;&lt;author&gt;Kim, Daehwan&lt;/author&gt;&lt;author&gt;Kelley, David R.&lt;/author&gt;&lt;author&gt;Pimentel, Harold&lt;/author&gt;&lt;author&gt;Salzberg, Steven L.&lt;/author&gt;&lt;author&gt;Rinn, John L.&lt;/author&gt;&lt;author&gt;Pachter, Lior&lt;/author&gt;&lt;/authors&gt;&lt;/contributors&gt;&lt;titles&gt;&lt;title&gt;Differential gene and transcript expression analysis of RNA-seq experiments with TopHat and Cufflinks&lt;/title&gt;&lt;secondary-title&gt;Nat. Protocols&lt;/secondary-title&gt;&lt;/titles&gt;&lt;periodical&gt;&lt;full-title&gt;Nat. Protocols&lt;/full-title&gt;&lt;/periodical&gt;&lt;pages&gt;562-578&lt;/pages&gt;&lt;volume&gt;7&lt;/volume&gt;&lt;number&gt;3&lt;/number&gt;&lt;dates&gt;&lt;year&gt;2012&lt;/year&gt;&lt;/dates&gt;&lt;publisher&gt;Nature Publishing Group, a division of Macmillan Publishers Limited. All Rights Reserved.&lt;/publisher&gt;&lt;isbn&gt;1754-2189&lt;/isbn&gt;&lt;work-type&gt;10.1038/nprot.2012.016&lt;/work-type&gt;&lt;urls&gt;&lt;related-urls&gt;&lt;url&gt;http://dx.doi.org/10.1038/nprot.2012.016&lt;/url&gt;&lt;/related-urls&gt;&lt;/urls&gt;&lt;electronic-resource-num&gt; 10.1038/nprot.2012.016&lt;/electronic-resource-num&gt;&lt;/record&gt;&lt;/Cite&gt;&lt;/EndNote&gt;</w:instrText>
      </w:r>
      <w:r w:rsidR="000C2D40">
        <w:fldChar w:fldCharType="separate"/>
      </w:r>
      <w:r w:rsidR="00D66EF1">
        <w:rPr>
          <w:noProof/>
        </w:rPr>
        <w:t>(</w:t>
      </w:r>
      <w:hyperlink w:anchor="_ENREF_6" w:tooltip="Trapnell, 2012 #4533" w:history="1">
        <w:r w:rsidR="00224F7D">
          <w:rPr>
            <w:noProof/>
          </w:rPr>
          <w:t>Trapnell et al. 2012</w:t>
        </w:r>
      </w:hyperlink>
      <w:r w:rsidR="00D66EF1">
        <w:rPr>
          <w:noProof/>
        </w:rPr>
        <w:t>)</w:t>
      </w:r>
      <w:r w:rsidR="000C2D40">
        <w:fldChar w:fldCharType="end"/>
      </w:r>
      <w:r>
        <w:t xml:space="preserve">. Finally, reads were counted using </w:t>
      </w:r>
      <w:proofErr w:type="spellStart"/>
      <w:r>
        <w:t>HTseq</w:t>
      </w:r>
      <w:proofErr w:type="spellEnd"/>
      <w:r>
        <w:t xml:space="preserve">-count </w:t>
      </w:r>
      <w:r w:rsidR="000C2D40">
        <w:fldChar w:fldCharType="begin"/>
      </w:r>
      <w:r w:rsidR="00D66EF1">
        <w:instrText xml:space="preserve"> ADDIN EN.CITE &lt;EndNote&gt;&lt;Cite&gt;&lt;Author&gt;Anders&lt;/Author&gt;&lt;Year&gt;2015&lt;/Year&gt;&lt;RecNum&gt;4534&lt;/RecNum&gt;&lt;DisplayText&gt;(Anders et al. 2015)&lt;/DisplayText&gt;&lt;record&gt;&lt;rec-number&gt;4534&lt;/rec-number&gt;&lt;foreign-keys&gt;&lt;key app="EN" db-id="wzvv0wp0wxpadcetxe25sr51adrwavs02ffz"&gt;4534&lt;/key&gt;&lt;/foreign-keys&gt;&lt;ref-type name="Journal Article"&gt;17&lt;/ref-type&gt;&lt;contributors&gt;&lt;authors&gt;&lt;author&gt;Anders, Simon&lt;/author&gt;&lt;author&gt;Pyl, Paul Theodor&lt;/author&gt;&lt;author&gt;Huber, Wolfgang&lt;/author&gt;&lt;/authors&gt;&lt;/contributors&gt;&lt;titles&gt;&lt;title&gt;HTSeq—a Python framework to work with high-throughput sequencing data&lt;/title&gt;&lt;secondary-title&gt;Bioinformatics&lt;/secondary-title&gt;&lt;/titles&gt;&lt;periodical&gt;&lt;full-title&gt;Bioinformatics&lt;/full-title&gt;&lt;/periodical&gt;&lt;pages&gt;166-169&lt;/pages&gt;&lt;volume&gt;31&lt;/volume&gt;&lt;number&gt;2&lt;/number&gt;&lt;dates&gt;&lt;year&gt;2015&lt;/year&gt;&lt;pub-dates&gt;&lt;date&gt;January 15, 2015&lt;/date&gt;&lt;/pub-dates&gt;&lt;/dates&gt;&lt;urls&gt;&lt;related-urls&gt;&lt;url&gt;http://bioinformatics.oxfordjournals.org/content/31/2/166.abstract&lt;/url&gt;&lt;/related-urls&gt;&lt;/urls&gt;&lt;electronic-resource-num&gt;10.1093/bioinformatics/btu638&lt;/electronic-resource-num&gt;&lt;/record&gt;&lt;/Cite&gt;&lt;/EndNote&gt;</w:instrText>
      </w:r>
      <w:r w:rsidR="000C2D40">
        <w:fldChar w:fldCharType="separate"/>
      </w:r>
      <w:r w:rsidR="00D66EF1">
        <w:rPr>
          <w:noProof/>
        </w:rPr>
        <w:t>(</w:t>
      </w:r>
      <w:hyperlink w:anchor="_ENREF_1" w:tooltip="Anders, 2015 #4534" w:history="1">
        <w:r w:rsidR="00224F7D">
          <w:rPr>
            <w:noProof/>
          </w:rPr>
          <w:t>Anders et al. 2015</w:t>
        </w:r>
      </w:hyperlink>
      <w:r w:rsidR="00D66EF1">
        <w:rPr>
          <w:noProof/>
        </w:rPr>
        <w:t>)</w:t>
      </w:r>
      <w:r w:rsidR="000C2D40">
        <w:fldChar w:fldCharType="end"/>
      </w:r>
      <w:r>
        <w:t>.</w:t>
      </w:r>
    </w:p>
    <w:p w:rsidR="00543BF4" w:rsidRPr="0019004F" w:rsidRDefault="00D66EF1" w:rsidP="00543BF4">
      <w:pPr>
        <w:spacing w:line="360" w:lineRule="auto"/>
        <w:jc w:val="both"/>
        <w:rPr>
          <w:i/>
        </w:rPr>
      </w:pPr>
      <w:r>
        <w:rPr>
          <w:i/>
        </w:rPr>
        <w:t>Pair and trio analyses</w:t>
      </w:r>
    </w:p>
    <w:p w:rsidR="00543BF4" w:rsidRDefault="00543BF4" w:rsidP="00543BF4">
      <w:pPr>
        <w:spacing w:line="360" w:lineRule="auto"/>
        <w:jc w:val="both"/>
      </w:pPr>
      <w:r>
        <w:t>We next estimated the numbers of SNPs that were segregating in our stock populations</w:t>
      </w:r>
      <w:r w:rsidR="00D66EF1">
        <w:t xml:space="preserve"> using pair and</w:t>
      </w:r>
      <w:r>
        <w:t xml:space="preserve"> </w:t>
      </w:r>
      <w:proofErr w:type="spellStart"/>
      <w:r>
        <w:t>trioauto</w:t>
      </w:r>
      <w:proofErr w:type="spellEnd"/>
      <w:r>
        <w:t xml:space="preserve"> analys</w:t>
      </w:r>
      <w:r w:rsidR="00D66EF1">
        <w:t>e</w:t>
      </w:r>
      <w:r>
        <w:t xml:space="preserve">s, implemented in </w:t>
      </w:r>
      <w:proofErr w:type="spellStart"/>
      <w:r w:rsidR="00D66EF1">
        <w:t>bcftools</w:t>
      </w:r>
      <w:proofErr w:type="spellEnd"/>
      <w:r w:rsidR="00D66EF1">
        <w:t xml:space="preserve"> (</w:t>
      </w:r>
      <w:proofErr w:type="spellStart"/>
      <w:r>
        <w:t>samtools</w:t>
      </w:r>
      <w:proofErr w:type="spellEnd"/>
      <w:r w:rsidR="00D66EF1">
        <w:t xml:space="preserve"> v.1.1.19)</w:t>
      </w:r>
      <w:r>
        <w:t xml:space="preserve"> </w:t>
      </w:r>
      <w:r w:rsidR="000C2D40">
        <w:fldChar w:fldCharType="begin"/>
      </w:r>
      <w:r w:rsidR="00D66EF1">
        <w:instrText xml:space="preserve"> ADDIN EN.CITE &lt;EndNote&gt;&lt;Cite&gt;&lt;Author&gt;Li&lt;/Author&gt;&lt;Year&gt;2009&lt;/Year&gt;&lt;RecNum&gt;1557&lt;/RecNum&gt;&lt;DisplayText&gt;(Li et al. 2009)&lt;/DisplayText&gt;&lt;record&gt;&lt;rec-number&gt;1557&lt;/rec-number&gt;&lt;foreign-keys&gt;&lt;key app="EN" db-id="wzvv0wp0wxpadcetxe25sr51adrwavs02ffz"&gt;1557&lt;/key&gt;&lt;/foreign-keys&gt;&lt;ref-type name="Journal Article"&gt;17&lt;/ref-type&gt;&lt;contributors&gt;&lt;authors&gt;&lt;author&gt;Li, Heng&lt;/author&gt;&lt;author&gt;Handsaker, Bob&lt;/author&gt;&lt;author&gt;Wysoker, Alec&lt;/author&gt;&lt;author&gt;Fennell, Tim&lt;/author&gt;&lt;author&gt;Ruan, Jue&lt;/author&gt;&lt;author&gt;Homer, Nils&lt;/author&gt;&lt;author&gt;Marth, Gabor&lt;/author&gt;&lt;author&gt;Abecasis, Goncalo&lt;/author&gt;&lt;author&gt;Durbin, Richard&lt;/author&gt;&lt;author&gt;Genome Project Data, Proc&lt;/author&gt;&lt;/authors&gt;&lt;/contributors&gt;&lt;titles&gt;&lt;title&gt;The Sequence Alignment/Map format and SAMtools&lt;/title&gt;&lt;secondary-title&gt;Bioinformatics&lt;/secondary-title&gt;&lt;/titles&gt;&lt;periodical&gt;&lt;full-title&gt;Bioinformatics&lt;/full-title&gt;&lt;/periodical&gt;&lt;pages&gt;2078-2079&lt;/pages&gt;&lt;volume&gt;25&lt;/volume&gt;&lt;number&gt;16&lt;/number&gt;&lt;dates&gt;&lt;year&gt;2009&lt;/year&gt;&lt;pub-dates&gt;&lt;date&gt;Aug 15&lt;/date&gt;&lt;/pub-dates&gt;&lt;/dates&gt;&lt;isbn&gt;1367-4803&lt;/isbn&gt;&lt;accession-num&gt;WOS:000268808600014&lt;/accession-num&gt;&lt;urls&gt;&lt;related-urls&gt;&lt;url&gt;&amp;lt;Go to ISI&amp;gt;://WOS:000268808600014&lt;/url&gt;&lt;/related-urls&gt;&lt;/urls&gt;&lt;electronic-resource-num&gt;10.1093/bioinformatics/btp352&lt;/electronic-resource-num&gt;&lt;/record&gt;&lt;/Cite&gt;&lt;/EndNote&gt;</w:instrText>
      </w:r>
      <w:r w:rsidR="000C2D40">
        <w:fldChar w:fldCharType="separate"/>
      </w:r>
      <w:r w:rsidR="00D66EF1">
        <w:rPr>
          <w:noProof/>
        </w:rPr>
        <w:t>(</w:t>
      </w:r>
      <w:hyperlink w:anchor="_ENREF_2" w:tooltip="Li, 2009 #1557" w:history="1">
        <w:r w:rsidR="00224F7D">
          <w:rPr>
            <w:noProof/>
          </w:rPr>
          <w:t>Li et al. 2009</w:t>
        </w:r>
      </w:hyperlink>
      <w:r w:rsidR="00D66EF1">
        <w:rPr>
          <w:noProof/>
        </w:rPr>
        <w:t>)</w:t>
      </w:r>
      <w:r w:rsidR="000C2D40">
        <w:fldChar w:fldCharType="end"/>
      </w:r>
      <w:r>
        <w:t xml:space="preserve">. </w:t>
      </w:r>
      <w:r w:rsidR="00D66EF1">
        <w:t>Pair analyses detect differences in the allele calls across the genome between two datasets</w:t>
      </w:r>
      <w:r w:rsidR="004417CD">
        <w:t xml:space="preserve"> (in this case, different </w:t>
      </w:r>
      <w:proofErr w:type="spellStart"/>
      <w:r w:rsidR="004417CD">
        <w:t>mtDNA</w:t>
      </w:r>
      <w:proofErr w:type="spellEnd"/>
      <w:r w:rsidR="004417CD">
        <w:t xml:space="preserve"> haplotypes on the same nuclear background)</w:t>
      </w:r>
      <w:r w:rsidR="00D66EF1">
        <w:t>.</w:t>
      </w:r>
      <w:r w:rsidR="00383D9A">
        <w:t xml:space="preserve"> For the pairs analyses three replicate libraries (.bam files) </w:t>
      </w:r>
      <w:r w:rsidR="00383D9A">
        <w:lastRenderedPageBreak/>
        <w:t>were merged to form one large library representing that genotype (Figure S1).</w:t>
      </w:r>
      <w:r w:rsidR="00D66EF1">
        <w:t xml:space="preserve"> </w:t>
      </w:r>
      <w:r>
        <w:t xml:space="preserve">The rationale for trio analysis is to highlight variants that are not consistent with </w:t>
      </w:r>
      <w:proofErr w:type="spellStart"/>
      <w:r>
        <w:t>Mendelian</w:t>
      </w:r>
      <w:proofErr w:type="spellEnd"/>
      <w:r>
        <w:t xml:space="preserve"> inheritance and likely to be </w:t>
      </w:r>
      <w:r w:rsidRPr="007E0FB2">
        <w:rPr>
          <w:i/>
        </w:rPr>
        <w:t>de novo</w:t>
      </w:r>
      <w:r>
        <w:t xml:space="preserve"> mutations. In other words, the offspring genotypes are not consistent with parent genotypes. </w:t>
      </w:r>
      <w:r w:rsidR="00383D9A">
        <w:t>In the trio analyses, the replicates remained separate and took the position of either a parent or the offspring in the trio.</w:t>
      </w:r>
    </w:p>
    <w:p w:rsidR="00543BF4" w:rsidRDefault="00543BF4" w:rsidP="00543BF4">
      <w:pPr>
        <w:spacing w:line="360" w:lineRule="auto"/>
        <w:jc w:val="both"/>
      </w:pPr>
      <w:r>
        <w:t>The trio analysis outputs a list of SNPs that are incompatibly inherited between putative parents and offspring- in this case, the three RNA-</w:t>
      </w:r>
      <w:proofErr w:type="spellStart"/>
      <w:r>
        <w:t>seq</w:t>
      </w:r>
      <w:proofErr w:type="spellEnd"/>
      <w:r>
        <w:t xml:space="preserve"> libraries</w:t>
      </w:r>
      <w:r w:rsidR="004417CD">
        <w:t xml:space="preserve"> of each genotype</w:t>
      </w:r>
      <w:r>
        <w:t xml:space="preserve">. In the </w:t>
      </w:r>
      <w:r w:rsidR="00136FFD">
        <w:t>example</w:t>
      </w:r>
      <w:r>
        <w:t xml:space="preserve"> shown, Libraries #2 and #3 were parents and Library #1 was the putative offspring (see Figure S</w:t>
      </w:r>
      <w:r w:rsidR="004417CD">
        <w:t>1</w:t>
      </w:r>
      <w:r>
        <w:t>). For clarity, no experimental crosses were performed and here we report a modeling exercise based on RNA-</w:t>
      </w:r>
      <w:proofErr w:type="spellStart"/>
      <w:r>
        <w:t>seq</w:t>
      </w:r>
      <w:proofErr w:type="spellEnd"/>
      <w:r>
        <w:t xml:space="preserve"> data. The assignment of ‘parent’ or ‘offspring’ d</w:t>
      </w:r>
      <w:r w:rsidR="00136FFD">
        <w:t>oes</w:t>
      </w:r>
      <w:r>
        <w:t xml:space="preserve"> not change t</w:t>
      </w:r>
      <w:r w:rsidR="004417CD">
        <w:t>he results of the trio analysis.</w:t>
      </w:r>
    </w:p>
    <w:p w:rsidR="00543BF4" w:rsidRDefault="00543BF4" w:rsidP="00543BF4">
      <w:pPr>
        <w:spacing w:line="360" w:lineRule="auto"/>
        <w:jc w:val="both"/>
      </w:pPr>
    </w:p>
    <w:p w:rsidR="00A31566" w:rsidRDefault="00A31566" w:rsidP="00A31566">
      <w:pPr>
        <w:spacing w:line="360" w:lineRule="auto"/>
        <w:ind w:left="-540" w:hanging="270"/>
        <w:jc w:val="center"/>
      </w:pPr>
      <w:r>
        <w:rPr>
          <w:noProof/>
        </w:rPr>
        <w:drawing>
          <wp:inline distT="0" distB="0" distL="0" distR="0">
            <wp:extent cx="7059168" cy="3529584"/>
            <wp:effectExtent l="0" t="0" r="889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ir_trio_schematic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9168" cy="352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BF4" w:rsidRDefault="00543BF4" w:rsidP="00543BF4">
      <w:pPr>
        <w:spacing w:line="240" w:lineRule="auto"/>
        <w:jc w:val="both"/>
      </w:pPr>
      <w:r w:rsidRPr="00B1682A">
        <w:rPr>
          <w:b/>
        </w:rPr>
        <w:t>Figure S</w:t>
      </w:r>
      <w:r w:rsidR="00136FFD">
        <w:rPr>
          <w:b/>
        </w:rPr>
        <w:t>1</w:t>
      </w:r>
      <w:r w:rsidRPr="00B1682A">
        <w:rPr>
          <w:b/>
        </w:rPr>
        <w:t xml:space="preserve">. </w:t>
      </w:r>
      <w:proofErr w:type="gramStart"/>
      <w:r w:rsidR="00A31566">
        <w:rPr>
          <w:b/>
        </w:rPr>
        <w:t>Pairs and Trios experimental scheme.</w:t>
      </w:r>
      <w:proofErr w:type="gramEnd"/>
      <w:r w:rsidR="00A31566">
        <w:rPr>
          <w:b/>
        </w:rPr>
        <w:t xml:space="preserve"> </w:t>
      </w:r>
    </w:p>
    <w:p w:rsidR="00543BF4" w:rsidRDefault="00543BF4" w:rsidP="00543BF4">
      <w:pPr>
        <w:spacing w:line="240" w:lineRule="auto"/>
        <w:jc w:val="both"/>
      </w:pPr>
    </w:p>
    <w:p w:rsidR="00543BF4" w:rsidRDefault="00543BF4" w:rsidP="00543BF4">
      <w:pPr>
        <w:spacing w:line="360" w:lineRule="auto"/>
        <w:jc w:val="both"/>
      </w:pPr>
      <w:r>
        <w:t xml:space="preserve">In the trio analyses, </w:t>
      </w:r>
      <w:proofErr w:type="spellStart"/>
      <w:r>
        <w:t>phred</w:t>
      </w:r>
      <w:proofErr w:type="spellEnd"/>
      <w:r>
        <w:t xml:space="preserve"> log ratios of genotype likelihoods with and without the trio/pair constraint (CLRs) are calculated. Higher CLR values correspond with higher likelihood of a mismatch between parent and offspring. </w:t>
      </w:r>
    </w:p>
    <w:p w:rsidR="00543BF4" w:rsidRPr="0034263E" w:rsidRDefault="00543BF4" w:rsidP="00543BF4">
      <w:pPr>
        <w:spacing w:line="360" w:lineRule="auto"/>
        <w:jc w:val="both"/>
        <w:rPr>
          <w:i/>
        </w:rPr>
      </w:pPr>
      <w:r w:rsidRPr="0034263E">
        <w:rPr>
          <w:i/>
        </w:rPr>
        <w:lastRenderedPageBreak/>
        <w:t>SNP estimates</w:t>
      </w:r>
    </w:p>
    <w:p w:rsidR="00383D9A" w:rsidRDefault="00383D9A" w:rsidP="00543BF4">
      <w:pPr>
        <w:spacing w:line="360" w:lineRule="auto"/>
        <w:jc w:val="both"/>
      </w:pPr>
      <w:r>
        <w:t>In the main text we have plotted the samples to show regions of the genome that show signatures of enrichment for high CLR scores. These are most evident in the between-</w:t>
      </w:r>
      <w:proofErr w:type="spellStart"/>
      <w:r w:rsidRPr="00383D9A">
        <w:rPr>
          <w:i/>
        </w:rPr>
        <w:t>Aut</w:t>
      </w:r>
      <w:proofErr w:type="spellEnd"/>
      <w:r>
        <w:t xml:space="preserve"> haplotype contrast (Figure 3B) and most likely driven by SNPs that are found specifically in the </w:t>
      </w:r>
      <w:proofErr w:type="spellStart"/>
      <w:r w:rsidRPr="00383D9A">
        <w:rPr>
          <w:i/>
        </w:rPr>
        <w:t>siI</w:t>
      </w:r>
      <w:proofErr w:type="gramStart"/>
      <w:r w:rsidRPr="00383D9A">
        <w:rPr>
          <w:i/>
        </w:rPr>
        <w:t>;Aut</w:t>
      </w:r>
      <w:proofErr w:type="spellEnd"/>
      <w:proofErr w:type="gramEnd"/>
      <w:r>
        <w:t xml:space="preserve"> genotype (Figure 4D).</w:t>
      </w:r>
    </w:p>
    <w:p w:rsidR="00383D9A" w:rsidRDefault="00A31566" w:rsidP="00543BF4">
      <w:pPr>
        <w:spacing w:line="360" w:lineRule="auto"/>
        <w:jc w:val="both"/>
      </w:pPr>
      <w:r>
        <w:t xml:space="preserve">Figure S2 shows the distribution of CLR values within each </w:t>
      </w:r>
      <w:r w:rsidR="006C70AD">
        <w:t>haplotype pair on the same nuclear background (see Figure 3 of main text). Figure S3 shows the distribution of CLR values</w:t>
      </w:r>
      <w:r>
        <w:t xml:space="preserve"> based on the trio analyses (see Figure 4 of main text).</w:t>
      </w:r>
    </w:p>
    <w:p w:rsidR="006C70AD" w:rsidRDefault="006C70AD" w:rsidP="00543BF4">
      <w:pPr>
        <w:spacing w:line="360" w:lineRule="auto"/>
        <w:jc w:val="both"/>
      </w:pPr>
    </w:p>
    <w:p w:rsidR="006C70AD" w:rsidRDefault="006C70AD" w:rsidP="00543BF4">
      <w:pPr>
        <w:spacing w:line="360" w:lineRule="auto"/>
        <w:jc w:val="both"/>
      </w:pPr>
    </w:p>
    <w:p w:rsidR="00A31566" w:rsidRDefault="006C70AD" w:rsidP="00543BF4">
      <w:pPr>
        <w:spacing w:line="360" w:lineRule="auto"/>
        <w:jc w:val="both"/>
      </w:pPr>
      <w:r>
        <w:rPr>
          <w:noProof/>
        </w:rPr>
        <w:drawing>
          <wp:inline distT="0" distB="0" distL="0" distR="0">
            <wp:extent cx="5943600" cy="33940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_GENOTYPES_WITHIN_NUCLEAR_PAIRS.tif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566" w:rsidRPr="006C70AD" w:rsidRDefault="006C70AD" w:rsidP="00543BF4">
      <w:pPr>
        <w:spacing w:line="360" w:lineRule="auto"/>
        <w:jc w:val="both"/>
      </w:pPr>
      <w:r w:rsidRPr="006C70AD">
        <w:rPr>
          <w:b/>
        </w:rPr>
        <w:t xml:space="preserve">Figure S2. </w:t>
      </w:r>
      <w:proofErr w:type="gramStart"/>
      <w:r w:rsidRPr="006C70AD">
        <w:rPr>
          <w:b/>
        </w:rPr>
        <w:t xml:space="preserve">Distribution of putative </w:t>
      </w:r>
      <w:r w:rsidRPr="006C70AD">
        <w:rPr>
          <w:b/>
          <w:i/>
        </w:rPr>
        <w:t>pair</w:t>
      </w:r>
      <w:r w:rsidRPr="006C70AD">
        <w:rPr>
          <w:b/>
        </w:rPr>
        <w:t xml:space="preserve"> mismatches and their corresponding CLR values.</w:t>
      </w:r>
      <w:proofErr w:type="gramEnd"/>
      <w:r>
        <w:rPr>
          <w:b/>
        </w:rPr>
        <w:t xml:space="preserve"> </w:t>
      </w:r>
      <w:r w:rsidRPr="006C70AD">
        <w:t xml:space="preserve">The contrast between </w:t>
      </w:r>
      <w:proofErr w:type="spellStart"/>
      <w:r w:rsidRPr="006C70AD">
        <w:rPr>
          <w:i/>
        </w:rPr>
        <w:t>siI</w:t>
      </w:r>
      <w:proofErr w:type="gramStart"/>
      <w:r w:rsidRPr="006C70AD">
        <w:rPr>
          <w:i/>
        </w:rPr>
        <w:t>;OreR</w:t>
      </w:r>
      <w:proofErr w:type="spellEnd"/>
      <w:proofErr w:type="gramEnd"/>
      <w:r w:rsidRPr="006C70AD">
        <w:t xml:space="preserve"> and </w:t>
      </w:r>
      <w:proofErr w:type="spellStart"/>
      <w:r w:rsidRPr="006C70AD">
        <w:rPr>
          <w:i/>
        </w:rPr>
        <w:t>OreR;OreR</w:t>
      </w:r>
      <w:proofErr w:type="spellEnd"/>
      <w:r w:rsidRPr="006C70AD">
        <w:t xml:space="preserve"> is shown in (A), and the contrast between </w:t>
      </w:r>
      <w:proofErr w:type="spellStart"/>
      <w:r w:rsidRPr="006C70AD">
        <w:rPr>
          <w:i/>
        </w:rPr>
        <w:t>siI;Aut</w:t>
      </w:r>
      <w:proofErr w:type="spellEnd"/>
      <w:r w:rsidRPr="006C70AD">
        <w:t xml:space="preserve"> and </w:t>
      </w:r>
      <w:proofErr w:type="spellStart"/>
      <w:r w:rsidRPr="006C70AD">
        <w:rPr>
          <w:i/>
        </w:rPr>
        <w:t>OreR;Aut</w:t>
      </w:r>
      <w:proofErr w:type="spellEnd"/>
      <w:r w:rsidRPr="006C70AD">
        <w:t xml:space="preserve"> is shown in (B).</w:t>
      </w:r>
    </w:p>
    <w:p w:rsidR="00A31566" w:rsidRDefault="00A31566" w:rsidP="00543BF4">
      <w:pPr>
        <w:spacing w:line="360" w:lineRule="auto"/>
        <w:jc w:val="both"/>
      </w:pPr>
    </w:p>
    <w:p w:rsidR="00A31566" w:rsidRDefault="00A31566" w:rsidP="00543BF4">
      <w:pPr>
        <w:spacing w:line="360" w:lineRule="auto"/>
        <w:jc w:val="both"/>
      </w:pPr>
    </w:p>
    <w:p w:rsidR="006C70AD" w:rsidRDefault="006C70AD" w:rsidP="006C70AD">
      <w:pPr>
        <w:spacing w:line="360" w:lineRule="auto"/>
        <w:jc w:val="both"/>
        <w:rPr>
          <w:b/>
        </w:rPr>
      </w:pPr>
    </w:p>
    <w:p w:rsidR="006C70AD" w:rsidRDefault="006C70AD" w:rsidP="006C70AD">
      <w:pPr>
        <w:spacing w:line="360" w:lineRule="auto"/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5943600" cy="6282055"/>
            <wp:effectExtent l="0" t="0" r="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_GENOTYPES_TRIOS_CLR_ESTIMATES_PUBLISH.tif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8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0AD" w:rsidRPr="006C70AD" w:rsidRDefault="006C70AD" w:rsidP="006C70AD">
      <w:pPr>
        <w:spacing w:line="360" w:lineRule="auto"/>
        <w:jc w:val="both"/>
      </w:pPr>
      <w:r w:rsidRPr="006C70AD">
        <w:rPr>
          <w:b/>
        </w:rPr>
        <w:t>Figure S</w:t>
      </w:r>
      <w:r>
        <w:rPr>
          <w:b/>
        </w:rPr>
        <w:t>3</w:t>
      </w:r>
      <w:r w:rsidRPr="006C70AD">
        <w:rPr>
          <w:b/>
        </w:rPr>
        <w:t xml:space="preserve">. </w:t>
      </w:r>
      <w:proofErr w:type="gramStart"/>
      <w:r w:rsidRPr="006C70AD">
        <w:rPr>
          <w:b/>
        </w:rPr>
        <w:t xml:space="preserve">Distribution of putative </w:t>
      </w:r>
      <w:r>
        <w:rPr>
          <w:b/>
          <w:i/>
        </w:rPr>
        <w:t>trio</w:t>
      </w:r>
      <w:r w:rsidRPr="006C70AD">
        <w:rPr>
          <w:b/>
        </w:rPr>
        <w:t xml:space="preserve"> mismatches and their corresponding CLR values.</w:t>
      </w:r>
      <w:proofErr w:type="gramEnd"/>
      <w:r>
        <w:rPr>
          <w:b/>
        </w:rPr>
        <w:t xml:space="preserve"> </w:t>
      </w:r>
      <w:r w:rsidRPr="006C70AD">
        <w:t xml:space="preserve">The contrast </w:t>
      </w:r>
      <w:r>
        <w:t>within</w:t>
      </w:r>
      <w:r w:rsidRPr="006C70AD">
        <w:t xml:space="preserve"> </w:t>
      </w:r>
      <w:proofErr w:type="spellStart"/>
      <w:r>
        <w:rPr>
          <w:i/>
        </w:rPr>
        <w:t>OreR</w:t>
      </w:r>
      <w:r w:rsidRPr="006C70AD">
        <w:rPr>
          <w:i/>
        </w:rPr>
        <w:t>;OreR</w:t>
      </w:r>
      <w:proofErr w:type="spellEnd"/>
      <w:r>
        <w:rPr>
          <w:i/>
        </w:rPr>
        <w:t xml:space="preserve"> </w:t>
      </w:r>
      <w:r w:rsidRPr="006C70AD">
        <w:t>(A)</w:t>
      </w:r>
      <w:r>
        <w:t>,</w:t>
      </w:r>
      <w:r w:rsidRPr="006C70AD">
        <w:t xml:space="preserve"> </w:t>
      </w:r>
      <w:proofErr w:type="spellStart"/>
      <w:r w:rsidRPr="006C70AD">
        <w:rPr>
          <w:i/>
        </w:rPr>
        <w:t>OreR;</w:t>
      </w:r>
      <w:r>
        <w:rPr>
          <w:i/>
        </w:rPr>
        <w:t>Aut</w:t>
      </w:r>
      <w:proofErr w:type="spellEnd"/>
      <w:r>
        <w:rPr>
          <w:i/>
        </w:rPr>
        <w:t xml:space="preserve"> </w:t>
      </w:r>
      <w:r>
        <w:t>(B)</w:t>
      </w:r>
      <w:r w:rsidRPr="006C70AD">
        <w:t>,</w:t>
      </w:r>
      <w:r>
        <w:t xml:space="preserve"> </w:t>
      </w:r>
      <w:proofErr w:type="spellStart"/>
      <w:r w:rsidRPr="006C70AD">
        <w:rPr>
          <w:i/>
        </w:rPr>
        <w:t>siI;OreR</w:t>
      </w:r>
      <w:proofErr w:type="spellEnd"/>
      <w:r>
        <w:t xml:space="preserve"> (C), and </w:t>
      </w:r>
      <w:proofErr w:type="spellStart"/>
      <w:r w:rsidRPr="006C70AD">
        <w:rPr>
          <w:i/>
        </w:rPr>
        <w:t>siI;Aut</w:t>
      </w:r>
      <w:proofErr w:type="spellEnd"/>
      <w:r>
        <w:t xml:space="preserve"> are shown.</w:t>
      </w:r>
    </w:p>
    <w:p w:rsidR="00A31566" w:rsidRDefault="00DC5C34" w:rsidP="00543BF4">
      <w:pPr>
        <w:spacing w:line="360" w:lineRule="auto"/>
        <w:jc w:val="both"/>
      </w:pPr>
      <w:r>
        <w:t>There are no exact CLR threshold values that correspond with confident SNP calls. Clearly values of 255 on a 0</w:t>
      </w:r>
      <w:proofErr w:type="gramStart"/>
      <w:r>
        <w:t>-&gt;255 scale</w:t>
      </w:r>
      <w:proofErr w:type="gramEnd"/>
      <w:r>
        <w:t xml:space="preserve"> indicate high confidence scores and these were achieved in very low numbers in the </w:t>
      </w:r>
      <w:proofErr w:type="spellStart"/>
      <w:r w:rsidRPr="00DC5C34">
        <w:rPr>
          <w:i/>
        </w:rPr>
        <w:t>OreR</w:t>
      </w:r>
      <w:proofErr w:type="spellEnd"/>
      <w:r>
        <w:t xml:space="preserve"> nuclear pairs analysis (Figure S2A</w:t>
      </w:r>
      <w:r w:rsidR="00351728">
        <w:t>; Table S1</w:t>
      </w:r>
      <w:r>
        <w:t xml:space="preserve">) and a much higher number in the </w:t>
      </w:r>
      <w:proofErr w:type="spellStart"/>
      <w:r w:rsidRPr="00DC5C34">
        <w:rPr>
          <w:i/>
        </w:rPr>
        <w:t>Aut</w:t>
      </w:r>
      <w:proofErr w:type="spellEnd"/>
      <w:r>
        <w:t xml:space="preserve"> pair analysis. For </w:t>
      </w:r>
      <w:r>
        <w:lastRenderedPageBreak/>
        <w:t xml:space="preserve">the trio analyses, only the </w:t>
      </w:r>
      <w:proofErr w:type="spellStart"/>
      <w:r w:rsidRPr="00DC5C34">
        <w:rPr>
          <w:i/>
        </w:rPr>
        <w:t>siI</w:t>
      </w:r>
      <w:proofErr w:type="gramStart"/>
      <w:r w:rsidRPr="00DC5C34">
        <w:rPr>
          <w:i/>
        </w:rPr>
        <w:t>;Aut</w:t>
      </w:r>
      <w:proofErr w:type="spellEnd"/>
      <w:proofErr w:type="gramEnd"/>
      <w:r>
        <w:t xml:space="preserve"> genotype demonstrated high confidence scores.</w:t>
      </w:r>
      <w:r w:rsidR="006D27D2">
        <w:t xml:space="preserve"> Polymorphism is more likely to be detected in the </w:t>
      </w:r>
      <w:proofErr w:type="gramStart"/>
      <w:r w:rsidR="006D27D2">
        <w:t>pairs</w:t>
      </w:r>
      <w:proofErr w:type="gramEnd"/>
      <w:r w:rsidR="006D27D2">
        <w:t xml:space="preserve"> analysis, since the merged .bam files contain deeper reads and therefore genotype differences can be more confidently called.</w:t>
      </w:r>
      <w:r>
        <w:t xml:space="preserve"> Table S1 describes the numbers of putative SNPs that are segregating in the populations at threshold values ranging from 100 to 255 in increments of </w:t>
      </w:r>
      <w:r w:rsidR="00900751">
        <w:t>5.</w:t>
      </w:r>
    </w:p>
    <w:p w:rsidR="00900751" w:rsidRPr="00351728" w:rsidRDefault="00900751" w:rsidP="00543BF4">
      <w:pPr>
        <w:spacing w:line="360" w:lineRule="auto"/>
        <w:jc w:val="both"/>
        <w:rPr>
          <w:b/>
        </w:rPr>
      </w:pPr>
      <w:r w:rsidRPr="00351728">
        <w:rPr>
          <w:b/>
        </w:rPr>
        <w:t xml:space="preserve">Table S1. Numbers of putative SNPs in each analysis type as a function of </w:t>
      </w:r>
      <w:r w:rsidR="00351728" w:rsidRPr="00351728">
        <w:rPr>
          <w:b/>
        </w:rPr>
        <w:t xml:space="preserve">greater than or equal to (&gt;=) </w:t>
      </w:r>
      <w:r w:rsidRPr="00351728">
        <w:rPr>
          <w:b/>
        </w:rPr>
        <w:t>CLR.</w:t>
      </w:r>
    </w:p>
    <w:tbl>
      <w:tblPr>
        <w:tblStyle w:val="LightShading"/>
        <w:tblW w:w="0" w:type="auto"/>
        <w:jc w:val="center"/>
        <w:tblLook w:val="04A0" w:firstRow="1" w:lastRow="0" w:firstColumn="1" w:lastColumn="0" w:noHBand="0" w:noVBand="1"/>
      </w:tblPr>
      <w:tblGrid>
        <w:gridCol w:w="1008"/>
        <w:gridCol w:w="1170"/>
        <w:gridCol w:w="1080"/>
        <w:gridCol w:w="1530"/>
        <w:gridCol w:w="1368"/>
        <w:gridCol w:w="1512"/>
        <w:gridCol w:w="1368"/>
      </w:tblGrid>
      <w:tr w:rsidR="00900751" w:rsidRPr="00351728" w:rsidTr="0035172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Pr="00351728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 w:rsidRPr="00351728">
              <w:rPr>
                <w:rFonts w:ascii="Calibri" w:hAnsi="Calibri"/>
                <w:color w:val="000000"/>
              </w:rPr>
              <w:t>CLR(&gt;=)</w:t>
            </w:r>
          </w:p>
        </w:tc>
        <w:tc>
          <w:tcPr>
            <w:tcW w:w="1170" w:type="dxa"/>
          </w:tcPr>
          <w:p w:rsidR="00900751" w:rsidRPr="00351728" w:rsidRDefault="00900751" w:rsidP="0035172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i/>
                <w:color w:val="000000"/>
              </w:rPr>
            </w:pPr>
            <w:proofErr w:type="spellStart"/>
            <w:r w:rsidRPr="00351728">
              <w:rPr>
                <w:rFonts w:ascii="Calibri" w:hAnsi="Calibri"/>
                <w:i/>
                <w:color w:val="000000"/>
              </w:rPr>
              <w:t>OreR</w:t>
            </w:r>
            <w:proofErr w:type="spellEnd"/>
            <w:r w:rsidRPr="00351728">
              <w:rPr>
                <w:rFonts w:ascii="Calibri" w:hAnsi="Calibri"/>
                <w:i/>
                <w:color w:val="000000"/>
              </w:rPr>
              <w:t xml:space="preserve"> pair</w:t>
            </w:r>
          </w:p>
        </w:tc>
        <w:tc>
          <w:tcPr>
            <w:tcW w:w="1080" w:type="dxa"/>
          </w:tcPr>
          <w:p w:rsidR="00900751" w:rsidRPr="00351728" w:rsidRDefault="00900751" w:rsidP="0035172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i/>
                <w:color w:val="000000"/>
              </w:rPr>
            </w:pPr>
            <w:proofErr w:type="spellStart"/>
            <w:r w:rsidRPr="00351728">
              <w:rPr>
                <w:rFonts w:ascii="Calibri" w:hAnsi="Calibri"/>
                <w:i/>
                <w:color w:val="000000"/>
              </w:rPr>
              <w:t>Aut</w:t>
            </w:r>
            <w:proofErr w:type="spellEnd"/>
            <w:r w:rsidRPr="00351728">
              <w:rPr>
                <w:rFonts w:ascii="Calibri" w:hAnsi="Calibri"/>
                <w:i/>
                <w:color w:val="000000"/>
              </w:rPr>
              <w:t xml:space="preserve"> pair</w:t>
            </w:r>
          </w:p>
        </w:tc>
        <w:tc>
          <w:tcPr>
            <w:tcW w:w="1530" w:type="dxa"/>
          </w:tcPr>
          <w:p w:rsidR="00900751" w:rsidRPr="00351728" w:rsidRDefault="00900751" w:rsidP="0035172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i/>
                <w:color w:val="000000"/>
              </w:rPr>
            </w:pPr>
            <w:proofErr w:type="spellStart"/>
            <w:r w:rsidRPr="00351728">
              <w:rPr>
                <w:rFonts w:ascii="Calibri" w:hAnsi="Calibri"/>
                <w:i/>
                <w:color w:val="000000"/>
              </w:rPr>
              <w:t>OreR;Ore</w:t>
            </w:r>
            <w:proofErr w:type="spellEnd"/>
            <w:r w:rsidRPr="00351728">
              <w:rPr>
                <w:rFonts w:ascii="Calibri" w:hAnsi="Calibri"/>
                <w:i/>
                <w:color w:val="000000"/>
              </w:rPr>
              <w:t xml:space="preserve"> trio</w:t>
            </w:r>
          </w:p>
        </w:tc>
        <w:tc>
          <w:tcPr>
            <w:tcW w:w="1368" w:type="dxa"/>
          </w:tcPr>
          <w:p w:rsidR="00900751" w:rsidRPr="00351728" w:rsidRDefault="00900751" w:rsidP="0035172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i/>
                <w:color w:val="000000"/>
              </w:rPr>
            </w:pPr>
            <w:proofErr w:type="spellStart"/>
            <w:r w:rsidRPr="00351728">
              <w:rPr>
                <w:rFonts w:ascii="Calibri" w:hAnsi="Calibri"/>
                <w:i/>
                <w:color w:val="000000"/>
              </w:rPr>
              <w:t>siI;OreR</w:t>
            </w:r>
            <w:proofErr w:type="spellEnd"/>
            <w:r w:rsidRPr="00351728">
              <w:rPr>
                <w:rFonts w:ascii="Calibri" w:hAnsi="Calibri"/>
                <w:i/>
                <w:color w:val="000000"/>
              </w:rPr>
              <w:t xml:space="preserve"> trio</w:t>
            </w:r>
          </w:p>
        </w:tc>
        <w:tc>
          <w:tcPr>
            <w:tcW w:w="1512" w:type="dxa"/>
          </w:tcPr>
          <w:p w:rsidR="00900751" w:rsidRPr="00351728" w:rsidRDefault="00900751" w:rsidP="0035172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i/>
                <w:color w:val="000000"/>
              </w:rPr>
            </w:pPr>
            <w:proofErr w:type="spellStart"/>
            <w:r w:rsidRPr="00351728">
              <w:rPr>
                <w:rFonts w:ascii="Calibri" w:hAnsi="Calibri"/>
                <w:i/>
                <w:color w:val="000000"/>
              </w:rPr>
              <w:t>OreR;Aut</w:t>
            </w:r>
            <w:proofErr w:type="spellEnd"/>
            <w:r w:rsidRPr="00351728">
              <w:rPr>
                <w:rFonts w:ascii="Calibri" w:hAnsi="Calibri"/>
                <w:i/>
                <w:color w:val="000000"/>
              </w:rPr>
              <w:t xml:space="preserve"> trio</w:t>
            </w:r>
          </w:p>
        </w:tc>
        <w:tc>
          <w:tcPr>
            <w:tcW w:w="1368" w:type="dxa"/>
          </w:tcPr>
          <w:p w:rsidR="00900751" w:rsidRPr="00351728" w:rsidRDefault="00900751" w:rsidP="0035172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i/>
                <w:color w:val="000000"/>
              </w:rPr>
            </w:pPr>
            <w:proofErr w:type="spellStart"/>
            <w:r w:rsidRPr="00351728">
              <w:rPr>
                <w:rFonts w:ascii="Calibri" w:hAnsi="Calibri"/>
                <w:i/>
                <w:color w:val="000000"/>
              </w:rPr>
              <w:t>siI;Aut</w:t>
            </w:r>
            <w:proofErr w:type="spellEnd"/>
            <w:r w:rsidRPr="00351728">
              <w:rPr>
                <w:rFonts w:ascii="Calibri" w:hAnsi="Calibri"/>
                <w:i/>
                <w:color w:val="000000"/>
              </w:rPr>
              <w:t xml:space="preserve"> trio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86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3275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177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78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3199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173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72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3082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169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68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2992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164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65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2919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160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2850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155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56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2764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152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55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2685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150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54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2605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149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2516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144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2454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142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2386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139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2326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135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2268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135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2198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134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2140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132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41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2074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129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2008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128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38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1959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128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38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1910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127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1875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124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35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1826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121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35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1789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119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1741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119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1699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119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1648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118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1610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114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1566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113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1531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112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1494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111</w:t>
            </w:r>
          </w:p>
        </w:tc>
      </w:tr>
      <w:tr w:rsidR="00900751" w:rsidTr="003517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250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1463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110</w:t>
            </w:r>
          </w:p>
        </w:tc>
      </w:tr>
      <w:tr w:rsidR="00900751" w:rsidTr="0035172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:rsidR="00900751" w:rsidRDefault="00900751" w:rsidP="0035172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255</w:t>
            </w:r>
          </w:p>
        </w:tc>
        <w:tc>
          <w:tcPr>
            <w:tcW w:w="117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</w:t>
            </w:r>
          </w:p>
        </w:tc>
        <w:tc>
          <w:tcPr>
            <w:tcW w:w="108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1434</w:t>
            </w:r>
          </w:p>
        </w:tc>
        <w:tc>
          <w:tcPr>
            <w:tcW w:w="1530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512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1368" w:type="dxa"/>
          </w:tcPr>
          <w:p w:rsidR="00900751" w:rsidRDefault="00900751" w:rsidP="0035172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109</w:t>
            </w:r>
          </w:p>
        </w:tc>
      </w:tr>
    </w:tbl>
    <w:p w:rsidR="00900751" w:rsidRDefault="00900751" w:rsidP="00543BF4">
      <w:pPr>
        <w:spacing w:line="360" w:lineRule="auto"/>
        <w:jc w:val="both"/>
      </w:pPr>
    </w:p>
    <w:p w:rsidR="00543BF4" w:rsidRPr="00E1086A" w:rsidRDefault="00543BF4" w:rsidP="00543BF4">
      <w:pPr>
        <w:pStyle w:val="Heading2"/>
      </w:pPr>
      <w:bookmarkStart w:id="2" w:name="_Toc360597"/>
      <w:r>
        <w:t>(</w:t>
      </w:r>
      <w:r w:rsidR="00383D9A">
        <w:t>ii</w:t>
      </w:r>
      <w:r>
        <w:t xml:space="preserve">) </w:t>
      </w:r>
      <w:r w:rsidRPr="00E1086A">
        <w:t xml:space="preserve">Summary of </w:t>
      </w:r>
      <w:r w:rsidR="00383D9A">
        <w:t>population sizes in cages</w:t>
      </w:r>
      <w:bookmarkEnd w:id="2"/>
    </w:p>
    <w:p w:rsidR="00351728" w:rsidRDefault="00351728" w:rsidP="00543BF4">
      <w:pPr>
        <w:jc w:val="both"/>
        <w:rPr>
          <w:b/>
        </w:rPr>
      </w:pPr>
    </w:p>
    <w:p w:rsidR="00543BF4" w:rsidRDefault="00543BF4" w:rsidP="00543BF4">
      <w:pPr>
        <w:jc w:val="both"/>
      </w:pPr>
      <w:r w:rsidRPr="002D6871">
        <w:rPr>
          <w:b/>
        </w:rPr>
        <w:t>Table S</w:t>
      </w:r>
      <w:r w:rsidR="00DC5C34">
        <w:rPr>
          <w:b/>
        </w:rPr>
        <w:t>2</w:t>
      </w:r>
      <w:r w:rsidRPr="002D6871">
        <w:rPr>
          <w:b/>
        </w:rPr>
        <w:t xml:space="preserve"> </w:t>
      </w:r>
      <w:proofErr w:type="gramStart"/>
      <w:r w:rsidRPr="002D6871">
        <w:rPr>
          <w:b/>
        </w:rPr>
        <w:t>A</w:t>
      </w:r>
      <w:proofErr w:type="gramEnd"/>
      <w:r w:rsidRPr="002D6871">
        <w:rPr>
          <w:b/>
        </w:rPr>
        <w:t xml:space="preserve"> summary of the numbers of </w:t>
      </w:r>
      <w:r w:rsidR="008D19DA">
        <w:rPr>
          <w:b/>
        </w:rPr>
        <w:t xml:space="preserve">flies in each cage at the sampled </w:t>
      </w:r>
      <w:r w:rsidR="00153BC4">
        <w:rPr>
          <w:b/>
        </w:rPr>
        <w:t xml:space="preserve">generations. </w:t>
      </w:r>
      <w:r w:rsidR="00153BC4" w:rsidRPr="00153BC4">
        <w:t xml:space="preserve">Generations 0 and 10 were scored as the numbers of flies that seeded the </w:t>
      </w:r>
      <w:r w:rsidR="00153BC4">
        <w:t>pre-perturbation and</w:t>
      </w:r>
      <w:r w:rsidR="00153BC4" w:rsidRPr="00153BC4">
        <w:t xml:space="preserve"> post-perturbation</w:t>
      </w:r>
      <w:r w:rsidR="00153BC4">
        <w:t xml:space="preserve"> phases (700 for </w:t>
      </w:r>
      <w:r w:rsidR="00153BC4" w:rsidRPr="00153BC4">
        <w:rPr>
          <w:i/>
        </w:rPr>
        <w:t>D. melanogaster</w:t>
      </w:r>
      <w:r w:rsidR="00153BC4">
        <w:t xml:space="preserve"> type haplotype cages, 699 for </w:t>
      </w:r>
      <w:r w:rsidR="00153BC4" w:rsidRPr="00153BC4">
        <w:rPr>
          <w:i/>
        </w:rPr>
        <w:t xml:space="preserve">D. </w:t>
      </w:r>
      <w:proofErr w:type="spellStart"/>
      <w:r w:rsidR="00153BC4" w:rsidRPr="00153BC4">
        <w:rPr>
          <w:i/>
        </w:rPr>
        <w:t>simulans</w:t>
      </w:r>
      <w:proofErr w:type="spellEnd"/>
      <w:r w:rsidR="00153BC4">
        <w:t xml:space="preserve"> haplotype cages)</w:t>
      </w:r>
      <w:r w:rsidR="00153BC4" w:rsidRPr="00153BC4">
        <w:t>.</w:t>
      </w:r>
      <w:r w:rsidR="00153BC4">
        <w:t xml:space="preserve"> The figures for the remaining generations are underestimates since flies that remained stuck in the food were not frozen for genotyping and subsequently counted.</w:t>
      </w:r>
      <w:r w:rsidR="00E51EEF">
        <w:t xml:space="preserve"> The flies that were frozen were counted and added to the number of genotyped flies (92</w:t>
      </w:r>
      <w:r w:rsidR="00112AEF">
        <w:t xml:space="preserve"> or 93</w:t>
      </w:r>
      <w:r w:rsidR="00E51EEF">
        <w:t xml:space="preserve"> in each cage at each </w:t>
      </w:r>
      <w:proofErr w:type="spellStart"/>
      <w:r w:rsidR="00E51EEF">
        <w:t>timepoint</w:t>
      </w:r>
      <w:proofErr w:type="spellEnd"/>
      <w:r w:rsidR="00E51EEF">
        <w:t>).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3"/>
        <w:gridCol w:w="865"/>
        <w:gridCol w:w="871"/>
        <w:gridCol w:w="1044"/>
        <w:gridCol w:w="644"/>
        <w:gridCol w:w="663"/>
        <w:gridCol w:w="663"/>
        <w:gridCol w:w="642"/>
        <w:gridCol w:w="642"/>
        <w:gridCol w:w="642"/>
        <w:gridCol w:w="699"/>
        <w:gridCol w:w="699"/>
        <w:gridCol w:w="699"/>
      </w:tblGrid>
      <w:tr w:rsidR="00153BC4" w:rsidRPr="00045BB8" w:rsidTr="00DC5C34">
        <w:tc>
          <w:tcPr>
            <w:tcW w:w="803" w:type="dxa"/>
            <w:tcBorders>
              <w:top w:val="single" w:sz="4" w:space="0" w:color="auto"/>
            </w:tcBorders>
          </w:tcPr>
          <w:p w:rsidR="00153BC4" w:rsidRPr="00045BB8" w:rsidRDefault="00153BC4" w:rsidP="00DC5C34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865" w:type="dxa"/>
            <w:tcBorders>
              <w:top w:val="single" w:sz="4" w:space="0" w:color="auto"/>
            </w:tcBorders>
          </w:tcPr>
          <w:p w:rsidR="00153BC4" w:rsidRPr="00045BB8" w:rsidRDefault="00153BC4" w:rsidP="00DC5C34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871" w:type="dxa"/>
            <w:tcBorders>
              <w:top w:val="single" w:sz="4" w:space="0" w:color="auto"/>
            </w:tcBorders>
          </w:tcPr>
          <w:p w:rsidR="00153BC4" w:rsidRPr="00045BB8" w:rsidRDefault="00153BC4" w:rsidP="00DC5C34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044" w:type="dxa"/>
            <w:tcBorders>
              <w:top w:val="single" w:sz="4" w:space="0" w:color="auto"/>
            </w:tcBorders>
          </w:tcPr>
          <w:p w:rsidR="00153BC4" w:rsidRPr="00045BB8" w:rsidRDefault="00153BC4" w:rsidP="00DC5C34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5993" w:type="dxa"/>
            <w:gridSpan w:val="9"/>
            <w:tcBorders>
              <w:top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Generation</w:t>
            </w:r>
          </w:p>
        </w:tc>
      </w:tr>
      <w:tr w:rsidR="00153BC4" w:rsidRPr="00045BB8" w:rsidTr="00DC5C34">
        <w:tc>
          <w:tcPr>
            <w:tcW w:w="803" w:type="dxa"/>
            <w:tcBorders>
              <w:bottom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Cage</w:t>
            </w:r>
          </w:p>
        </w:tc>
        <w:tc>
          <w:tcPr>
            <w:tcW w:w="865" w:type="dxa"/>
            <w:tcBorders>
              <w:bottom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b/>
                <w:sz w:val="18"/>
                <w:szCs w:val="18"/>
              </w:rPr>
              <w:t>nDNA</w:t>
            </w:r>
            <w:proofErr w:type="spellEnd"/>
          </w:p>
        </w:tc>
        <w:tc>
          <w:tcPr>
            <w:tcW w:w="871" w:type="dxa"/>
            <w:tcBorders>
              <w:bottom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b/>
                <w:sz w:val="18"/>
                <w:szCs w:val="18"/>
              </w:rPr>
              <w:t>mtDNA</w:t>
            </w:r>
            <w:proofErr w:type="spellEnd"/>
          </w:p>
        </w:tc>
        <w:tc>
          <w:tcPr>
            <w:tcW w:w="1044" w:type="dxa"/>
            <w:tcBorders>
              <w:bottom w:val="single" w:sz="4" w:space="0" w:color="auto"/>
              <w:right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Replicate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3BC4" w:rsidRPr="000A4D8F" w:rsidRDefault="00153BC4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sz w:val="18"/>
                <w:szCs w:val="18"/>
              </w:rPr>
              <w:t>0</w:t>
            </w:r>
          </w:p>
        </w:tc>
        <w:tc>
          <w:tcPr>
            <w:tcW w:w="663" w:type="dxa"/>
            <w:tcBorders>
              <w:left w:val="single" w:sz="4" w:space="0" w:color="auto"/>
              <w:bottom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1</w:t>
            </w:r>
          </w:p>
        </w:tc>
        <w:tc>
          <w:tcPr>
            <w:tcW w:w="663" w:type="dxa"/>
            <w:tcBorders>
              <w:bottom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3</w:t>
            </w:r>
          </w:p>
        </w:tc>
        <w:tc>
          <w:tcPr>
            <w:tcW w:w="642" w:type="dxa"/>
            <w:tcBorders>
              <w:bottom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5</w:t>
            </w:r>
          </w:p>
        </w:tc>
        <w:tc>
          <w:tcPr>
            <w:tcW w:w="642" w:type="dxa"/>
            <w:tcBorders>
              <w:bottom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7</w:t>
            </w:r>
          </w:p>
        </w:tc>
        <w:tc>
          <w:tcPr>
            <w:tcW w:w="642" w:type="dxa"/>
            <w:tcBorders>
              <w:bottom w:val="single" w:sz="4" w:space="0" w:color="auto"/>
              <w:right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9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3BC4" w:rsidRPr="000A4D8F" w:rsidRDefault="00153BC4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699" w:type="dxa"/>
            <w:tcBorders>
              <w:left w:val="single" w:sz="4" w:space="0" w:color="auto"/>
              <w:bottom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16</w:t>
            </w:r>
          </w:p>
        </w:tc>
        <w:tc>
          <w:tcPr>
            <w:tcW w:w="699" w:type="dxa"/>
            <w:tcBorders>
              <w:bottom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045BB8">
              <w:rPr>
                <w:rFonts w:cs="Arial"/>
                <w:b/>
                <w:sz w:val="18"/>
                <w:szCs w:val="18"/>
              </w:rPr>
              <w:t>23</w:t>
            </w:r>
          </w:p>
        </w:tc>
      </w:tr>
      <w:tr w:rsidR="00153BC4" w:rsidRPr="00045BB8" w:rsidTr="00DC5C34">
        <w:tc>
          <w:tcPr>
            <w:tcW w:w="803" w:type="dxa"/>
            <w:tcBorders>
              <w:top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865" w:type="dxa"/>
            <w:tcBorders>
              <w:top w:val="single" w:sz="4" w:space="0" w:color="auto"/>
            </w:tcBorders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OreR</w:t>
            </w:r>
            <w:proofErr w:type="spellEnd"/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sim</w:t>
            </w:r>
            <w:proofErr w:type="spellEnd"/>
          </w:p>
        </w:tc>
        <w:tc>
          <w:tcPr>
            <w:tcW w:w="1044" w:type="dxa"/>
            <w:tcBorders>
              <w:top w:val="single" w:sz="4" w:space="0" w:color="auto"/>
            </w:tcBorders>
          </w:tcPr>
          <w:p w:rsidR="00153BC4" w:rsidRPr="00045BB8" w:rsidRDefault="00153BC4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644" w:type="dxa"/>
            <w:tcBorders>
              <w:top w:val="single" w:sz="4" w:space="0" w:color="auto"/>
            </w:tcBorders>
            <w:shd w:val="clear" w:color="auto" w:fill="000000" w:themeFill="text1"/>
            <w:vAlign w:val="bottom"/>
          </w:tcPr>
          <w:p w:rsidR="00153BC4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63" w:type="dxa"/>
            <w:tcBorders>
              <w:top w:val="single" w:sz="4" w:space="0" w:color="auto"/>
            </w:tcBorders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453</w:t>
            </w:r>
          </w:p>
        </w:tc>
        <w:tc>
          <w:tcPr>
            <w:tcW w:w="663" w:type="dxa"/>
            <w:tcBorders>
              <w:top w:val="single" w:sz="4" w:space="0" w:color="auto"/>
            </w:tcBorders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536</w:t>
            </w:r>
          </w:p>
        </w:tc>
        <w:tc>
          <w:tcPr>
            <w:tcW w:w="642" w:type="dxa"/>
            <w:tcBorders>
              <w:top w:val="single" w:sz="4" w:space="0" w:color="auto"/>
            </w:tcBorders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723</w:t>
            </w:r>
          </w:p>
        </w:tc>
        <w:tc>
          <w:tcPr>
            <w:tcW w:w="642" w:type="dxa"/>
            <w:tcBorders>
              <w:top w:val="single" w:sz="4" w:space="0" w:color="auto"/>
            </w:tcBorders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495</w:t>
            </w:r>
          </w:p>
        </w:tc>
        <w:tc>
          <w:tcPr>
            <w:tcW w:w="642" w:type="dxa"/>
            <w:tcBorders>
              <w:top w:val="single" w:sz="4" w:space="0" w:color="auto"/>
            </w:tcBorders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724</w:t>
            </w:r>
          </w:p>
        </w:tc>
        <w:tc>
          <w:tcPr>
            <w:tcW w:w="699" w:type="dxa"/>
            <w:tcBorders>
              <w:top w:val="single" w:sz="4" w:space="0" w:color="auto"/>
            </w:tcBorders>
            <w:shd w:val="clear" w:color="auto" w:fill="000000" w:themeFill="text1"/>
            <w:vAlign w:val="bottom"/>
          </w:tcPr>
          <w:p w:rsidR="00153BC4" w:rsidRPr="000A4D8F" w:rsidRDefault="00153BC4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99" w:type="dxa"/>
            <w:tcBorders>
              <w:top w:val="single" w:sz="4" w:space="0" w:color="auto"/>
            </w:tcBorders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675</w:t>
            </w:r>
          </w:p>
        </w:tc>
        <w:tc>
          <w:tcPr>
            <w:tcW w:w="699" w:type="dxa"/>
            <w:tcBorders>
              <w:top w:val="single" w:sz="4" w:space="0" w:color="auto"/>
            </w:tcBorders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793</w:t>
            </w:r>
          </w:p>
        </w:tc>
      </w:tr>
      <w:tr w:rsidR="00E51EEF" w:rsidRPr="00045BB8" w:rsidTr="00DC5C34">
        <w:tc>
          <w:tcPr>
            <w:tcW w:w="803" w:type="dxa"/>
            <w:shd w:val="clear" w:color="auto" w:fill="D9D9D9" w:themeFill="background1" w:themeFillShade="D9"/>
          </w:tcPr>
          <w:p w:rsidR="00153BC4" w:rsidRPr="00045BB8" w:rsidRDefault="00153BC4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865" w:type="dxa"/>
            <w:shd w:val="clear" w:color="auto" w:fill="D9D9D9" w:themeFill="background1" w:themeFillShade="D9"/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OreR</w:t>
            </w:r>
            <w:proofErr w:type="spellEnd"/>
          </w:p>
        </w:tc>
        <w:tc>
          <w:tcPr>
            <w:tcW w:w="871" w:type="dxa"/>
            <w:shd w:val="clear" w:color="auto" w:fill="D9D9D9" w:themeFill="background1" w:themeFillShade="D9"/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sim</w:t>
            </w:r>
            <w:proofErr w:type="spellEnd"/>
          </w:p>
        </w:tc>
        <w:tc>
          <w:tcPr>
            <w:tcW w:w="1044" w:type="dxa"/>
            <w:shd w:val="clear" w:color="auto" w:fill="D9D9D9" w:themeFill="background1" w:themeFillShade="D9"/>
          </w:tcPr>
          <w:p w:rsidR="00153BC4" w:rsidRPr="00045BB8" w:rsidRDefault="00153BC4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153BC4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674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809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656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726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796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153BC4" w:rsidRPr="000A4D8F" w:rsidRDefault="00153BC4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883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153BC4" w:rsidRPr="00045BB8" w:rsidRDefault="00153BC4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747</w:t>
            </w:r>
          </w:p>
        </w:tc>
      </w:tr>
      <w:tr w:rsidR="00E51EEF" w:rsidRPr="00045BB8" w:rsidTr="00DC5C34">
        <w:tc>
          <w:tcPr>
            <w:tcW w:w="803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865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OreR</w:t>
            </w:r>
            <w:proofErr w:type="spellEnd"/>
          </w:p>
        </w:tc>
        <w:tc>
          <w:tcPr>
            <w:tcW w:w="871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sim</w:t>
            </w:r>
            <w:proofErr w:type="spellEnd"/>
          </w:p>
        </w:tc>
        <w:tc>
          <w:tcPr>
            <w:tcW w:w="1044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572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604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763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593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759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540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613</w:t>
            </w:r>
          </w:p>
        </w:tc>
      </w:tr>
      <w:tr w:rsidR="00E51EEF" w:rsidRPr="00045BB8" w:rsidTr="00DC5C34">
        <w:tc>
          <w:tcPr>
            <w:tcW w:w="803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865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OreR</w:t>
            </w:r>
            <w:proofErr w:type="spellEnd"/>
          </w:p>
        </w:tc>
        <w:tc>
          <w:tcPr>
            <w:tcW w:w="871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sim</w:t>
            </w:r>
            <w:proofErr w:type="spellEnd"/>
          </w:p>
        </w:tc>
        <w:tc>
          <w:tcPr>
            <w:tcW w:w="1044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525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944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797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719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816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836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754</w:t>
            </w:r>
          </w:p>
        </w:tc>
      </w:tr>
      <w:tr w:rsidR="00E51EEF" w:rsidRPr="00045BB8" w:rsidTr="00DC5C34">
        <w:tc>
          <w:tcPr>
            <w:tcW w:w="803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5</w:t>
            </w:r>
          </w:p>
        </w:tc>
        <w:tc>
          <w:tcPr>
            <w:tcW w:w="865" w:type="dxa"/>
            <w:vAlign w:val="bottom"/>
          </w:tcPr>
          <w:p w:rsidR="00E51EEF" w:rsidRPr="00045BB8" w:rsidRDefault="00E51EEF" w:rsidP="00153BC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Aut</w:t>
            </w:r>
            <w:proofErr w:type="spellEnd"/>
          </w:p>
        </w:tc>
        <w:tc>
          <w:tcPr>
            <w:tcW w:w="871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sim</w:t>
            </w:r>
            <w:proofErr w:type="spellEnd"/>
          </w:p>
        </w:tc>
        <w:tc>
          <w:tcPr>
            <w:tcW w:w="1044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791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1097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870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783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860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986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929</w:t>
            </w:r>
          </w:p>
        </w:tc>
      </w:tr>
      <w:tr w:rsidR="00E51EEF" w:rsidRPr="00045BB8" w:rsidTr="00DC5C34">
        <w:tc>
          <w:tcPr>
            <w:tcW w:w="803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865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153BC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Aut</w:t>
            </w:r>
            <w:proofErr w:type="spellEnd"/>
          </w:p>
        </w:tc>
        <w:tc>
          <w:tcPr>
            <w:tcW w:w="871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sim</w:t>
            </w:r>
            <w:proofErr w:type="spellEnd"/>
          </w:p>
        </w:tc>
        <w:tc>
          <w:tcPr>
            <w:tcW w:w="1044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929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743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672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467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573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811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866</w:t>
            </w:r>
          </w:p>
        </w:tc>
      </w:tr>
      <w:tr w:rsidR="00E51EEF" w:rsidRPr="00045BB8" w:rsidTr="00DC5C34">
        <w:tc>
          <w:tcPr>
            <w:tcW w:w="803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7</w:t>
            </w:r>
          </w:p>
        </w:tc>
        <w:tc>
          <w:tcPr>
            <w:tcW w:w="865" w:type="dxa"/>
            <w:vAlign w:val="bottom"/>
          </w:tcPr>
          <w:p w:rsidR="00E51EEF" w:rsidRPr="00045BB8" w:rsidRDefault="00E51EEF" w:rsidP="00153BC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Aut</w:t>
            </w:r>
            <w:proofErr w:type="spellEnd"/>
          </w:p>
        </w:tc>
        <w:tc>
          <w:tcPr>
            <w:tcW w:w="871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sim</w:t>
            </w:r>
            <w:proofErr w:type="spellEnd"/>
          </w:p>
        </w:tc>
        <w:tc>
          <w:tcPr>
            <w:tcW w:w="1044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953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822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552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591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1010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833</w:t>
            </w:r>
          </w:p>
        </w:tc>
      </w:tr>
      <w:tr w:rsidR="00E51EEF" w:rsidRPr="00045BB8" w:rsidTr="00DC5C34">
        <w:tc>
          <w:tcPr>
            <w:tcW w:w="803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8</w:t>
            </w:r>
          </w:p>
        </w:tc>
        <w:tc>
          <w:tcPr>
            <w:tcW w:w="865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153BC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Aut</w:t>
            </w:r>
            <w:proofErr w:type="spellEnd"/>
          </w:p>
        </w:tc>
        <w:tc>
          <w:tcPr>
            <w:tcW w:w="871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sim</w:t>
            </w:r>
            <w:proofErr w:type="spellEnd"/>
          </w:p>
        </w:tc>
        <w:tc>
          <w:tcPr>
            <w:tcW w:w="1044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1067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1016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951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703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764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699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875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773</w:t>
            </w:r>
          </w:p>
        </w:tc>
      </w:tr>
      <w:tr w:rsidR="00E51EEF" w:rsidRPr="00045BB8" w:rsidTr="00DC5C34">
        <w:tc>
          <w:tcPr>
            <w:tcW w:w="803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865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OreR</w:t>
            </w:r>
            <w:proofErr w:type="spellEnd"/>
          </w:p>
        </w:tc>
        <w:tc>
          <w:tcPr>
            <w:tcW w:w="871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mel</w:t>
            </w:r>
            <w:proofErr w:type="spellEnd"/>
          </w:p>
        </w:tc>
        <w:tc>
          <w:tcPr>
            <w:tcW w:w="1044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607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719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810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570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650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689</w:t>
            </w:r>
          </w:p>
        </w:tc>
      </w:tr>
      <w:tr w:rsidR="00E51EEF" w:rsidRPr="00045BB8" w:rsidTr="00DC5C34">
        <w:tc>
          <w:tcPr>
            <w:tcW w:w="803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10</w:t>
            </w:r>
          </w:p>
        </w:tc>
        <w:tc>
          <w:tcPr>
            <w:tcW w:w="865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OreR</w:t>
            </w:r>
            <w:proofErr w:type="spellEnd"/>
          </w:p>
        </w:tc>
        <w:tc>
          <w:tcPr>
            <w:tcW w:w="871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mel</w:t>
            </w:r>
            <w:proofErr w:type="spellEnd"/>
          </w:p>
        </w:tc>
        <w:tc>
          <w:tcPr>
            <w:tcW w:w="1044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E51EEF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605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803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917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711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768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914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811</w:t>
            </w:r>
          </w:p>
        </w:tc>
      </w:tr>
      <w:tr w:rsidR="00E51EEF" w:rsidRPr="00045BB8" w:rsidTr="00DC5C34">
        <w:tc>
          <w:tcPr>
            <w:tcW w:w="803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11</w:t>
            </w:r>
          </w:p>
        </w:tc>
        <w:tc>
          <w:tcPr>
            <w:tcW w:w="865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OreR</w:t>
            </w:r>
            <w:proofErr w:type="spellEnd"/>
          </w:p>
        </w:tc>
        <w:tc>
          <w:tcPr>
            <w:tcW w:w="871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mel</w:t>
            </w:r>
            <w:proofErr w:type="spellEnd"/>
          </w:p>
        </w:tc>
        <w:tc>
          <w:tcPr>
            <w:tcW w:w="1044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713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734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791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854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719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711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780</w:t>
            </w:r>
          </w:p>
        </w:tc>
      </w:tr>
      <w:tr w:rsidR="00E51EEF" w:rsidRPr="00045BB8" w:rsidTr="00DC5C34">
        <w:tc>
          <w:tcPr>
            <w:tcW w:w="803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12</w:t>
            </w:r>
          </w:p>
        </w:tc>
        <w:tc>
          <w:tcPr>
            <w:tcW w:w="865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OreR</w:t>
            </w:r>
            <w:proofErr w:type="spellEnd"/>
          </w:p>
        </w:tc>
        <w:tc>
          <w:tcPr>
            <w:tcW w:w="871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mel</w:t>
            </w:r>
            <w:proofErr w:type="spellEnd"/>
          </w:p>
        </w:tc>
        <w:tc>
          <w:tcPr>
            <w:tcW w:w="1044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686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933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956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727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793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903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858</w:t>
            </w:r>
          </w:p>
        </w:tc>
      </w:tr>
      <w:tr w:rsidR="00E51EEF" w:rsidRPr="00045BB8" w:rsidTr="00DC5C34">
        <w:tc>
          <w:tcPr>
            <w:tcW w:w="803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13</w:t>
            </w:r>
          </w:p>
        </w:tc>
        <w:tc>
          <w:tcPr>
            <w:tcW w:w="865" w:type="dxa"/>
            <w:vAlign w:val="bottom"/>
          </w:tcPr>
          <w:p w:rsidR="00E51EEF" w:rsidRPr="00045BB8" w:rsidRDefault="00E51EEF" w:rsidP="00153BC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Aut</w:t>
            </w:r>
            <w:proofErr w:type="spellEnd"/>
          </w:p>
        </w:tc>
        <w:tc>
          <w:tcPr>
            <w:tcW w:w="871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mel</w:t>
            </w:r>
            <w:proofErr w:type="spellEnd"/>
          </w:p>
        </w:tc>
        <w:tc>
          <w:tcPr>
            <w:tcW w:w="1044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690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864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804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663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742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803</w:t>
            </w:r>
          </w:p>
        </w:tc>
      </w:tr>
      <w:tr w:rsidR="00E51EEF" w:rsidRPr="00045BB8" w:rsidTr="00DC5C34">
        <w:tc>
          <w:tcPr>
            <w:tcW w:w="803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14</w:t>
            </w:r>
          </w:p>
        </w:tc>
        <w:tc>
          <w:tcPr>
            <w:tcW w:w="865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153BC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Aut</w:t>
            </w:r>
            <w:proofErr w:type="spellEnd"/>
          </w:p>
        </w:tc>
        <w:tc>
          <w:tcPr>
            <w:tcW w:w="871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mel</w:t>
            </w:r>
            <w:proofErr w:type="spellEnd"/>
          </w:p>
        </w:tc>
        <w:tc>
          <w:tcPr>
            <w:tcW w:w="1044" w:type="dxa"/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976</w:t>
            </w:r>
          </w:p>
        </w:tc>
        <w:tc>
          <w:tcPr>
            <w:tcW w:w="663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1100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875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599</w:t>
            </w:r>
          </w:p>
        </w:tc>
        <w:tc>
          <w:tcPr>
            <w:tcW w:w="642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780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608</w:t>
            </w:r>
          </w:p>
        </w:tc>
        <w:tc>
          <w:tcPr>
            <w:tcW w:w="699" w:type="dxa"/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775</w:t>
            </w:r>
          </w:p>
        </w:tc>
      </w:tr>
      <w:tr w:rsidR="00E51EEF" w:rsidRPr="00045BB8" w:rsidTr="00DC5C34">
        <w:tc>
          <w:tcPr>
            <w:tcW w:w="803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15</w:t>
            </w:r>
          </w:p>
        </w:tc>
        <w:tc>
          <w:tcPr>
            <w:tcW w:w="865" w:type="dxa"/>
            <w:vAlign w:val="bottom"/>
          </w:tcPr>
          <w:p w:rsidR="00E51EEF" w:rsidRPr="00045BB8" w:rsidRDefault="00E51EEF" w:rsidP="00153BC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Aut</w:t>
            </w:r>
            <w:proofErr w:type="spellEnd"/>
          </w:p>
        </w:tc>
        <w:tc>
          <w:tcPr>
            <w:tcW w:w="871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mel</w:t>
            </w:r>
            <w:proofErr w:type="spellEnd"/>
          </w:p>
        </w:tc>
        <w:tc>
          <w:tcPr>
            <w:tcW w:w="1044" w:type="dxa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644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572</w:t>
            </w:r>
          </w:p>
        </w:tc>
        <w:tc>
          <w:tcPr>
            <w:tcW w:w="663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1021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899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733</w:t>
            </w:r>
          </w:p>
        </w:tc>
        <w:tc>
          <w:tcPr>
            <w:tcW w:w="642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688</w:t>
            </w:r>
          </w:p>
        </w:tc>
        <w:tc>
          <w:tcPr>
            <w:tcW w:w="699" w:type="dxa"/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719</w:t>
            </w:r>
          </w:p>
        </w:tc>
        <w:tc>
          <w:tcPr>
            <w:tcW w:w="699" w:type="dxa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832</w:t>
            </w:r>
          </w:p>
        </w:tc>
      </w:tr>
      <w:tr w:rsidR="00E51EEF" w:rsidRPr="00045BB8" w:rsidTr="00DC5C34">
        <w:tc>
          <w:tcPr>
            <w:tcW w:w="803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16</w:t>
            </w:r>
          </w:p>
        </w:tc>
        <w:tc>
          <w:tcPr>
            <w:tcW w:w="865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E51EEF" w:rsidRPr="00045BB8" w:rsidRDefault="00E51EEF" w:rsidP="00153BC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Aut</w:t>
            </w:r>
            <w:proofErr w:type="spellEnd"/>
          </w:p>
        </w:tc>
        <w:tc>
          <w:tcPr>
            <w:tcW w:w="871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i/>
                <w:color w:val="000000"/>
                <w:sz w:val="18"/>
                <w:szCs w:val="18"/>
              </w:rPr>
            </w:pPr>
            <w:proofErr w:type="spellStart"/>
            <w:r w:rsidRPr="00045BB8">
              <w:rPr>
                <w:rFonts w:cs="Arial"/>
                <w:i/>
                <w:color w:val="000000"/>
                <w:sz w:val="18"/>
                <w:szCs w:val="18"/>
              </w:rPr>
              <w:t>mel</w:t>
            </w:r>
            <w:proofErr w:type="spellEnd"/>
          </w:p>
        </w:tc>
        <w:tc>
          <w:tcPr>
            <w:tcW w:w="1044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E51EEF" w:rsidRPr="00045BB8" w:rsidRDefault="00E51EEF" w:rsidP="00DC5C34">
            <w:pPr>
              <w:jc w:val="center"/>
              <w:rPr>
                <w:rFonts w:cs="Arial"/>
                <w:sz w:val="18"/>
                <w:szCs w:val="18"/>
              </w:rPr>
            </w:pPr>
            <w:r w:rsidRPr="00045BB8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644" w:type="dxa"/>
            <w:tcBorders>
              <w:bottom w:val="single" w:sz="4" w:space="0" w:color="auto"/>
            </w:tcBorders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63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839</w:t>
            </w:r>
          </w:p>
        </w:tc>
        <w:tc>
          <w:tcPr>
            <w:tcW w:w="663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818</w:t>
            </w:r>
          </w:p>
        </w:tc>
        <w:tc>
          <w:tcPr>
            <w:tcW w:w="64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774</w:t>
            </w:r>
          </w:p>
        </w:tc>
        <w:tc>
          <w:tcPr>
            <w:tcW w:w="64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657</w:t>
            </w:r>
          </w:p>
        </w:tc>
        <w:tc>
          <w:tcPr>
            <w:tcW w:w="64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720</w:t>
            </w:r>
          </w:p>
        </w:tc>
        <w:tc>
          <w:tcPr>
            <w:tcW w:w="699" w:type="dxa"/>
            <w:tcBorders>
              <w:bottom w:val="single" w:sz="4" w:space="0" w:color="auto"/>
            </w:tcBorders>
            <w:shd w:val="clear" w:color="auto" w:fill="000000" w:themeFill="text1"/>
            <w:vAlign w:val="bottom"/>
          </w:tcPr>
          <w:p w:rsidR="00E51EEF" w:rsidRPr="000A4D8F" w:rsidRDefault="00E51EEF" w:rsidP="00DC5C34">
            <w:pPr>
              <w:jc w:val="center"/>
              <w:rPr>
                <w:rFonts w:cs="Arial"/>
                <w:b/>
                <w:color w:val="FFFFFF" w:themeColor="background1"/>
                <w:sz w:val="18"/>
                <w:szCs w:val="18"/>
              </w:rPr>
            </w:pPr>
            <w:r w:rsidRPr="000A4D8F">
              <w:rPr>
                <w:rFonts w:cs="Arial"/>
                <w:b/>
                <w:color w:val="FFFFFF" w:themeColor="background1"/>
                <w:sz w:val="18"/>
                <w:szCs w:val="18"/>
              </w:rPr>
              <w:t>700</w:t>
            </w:r>
          </w:p>
        </w:tc>
        <w:tc>
          <w:tcPr>
            <w:tcW w:w="699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863</w:t>
            </w:r>
          </w:p>
        </w:tc>
        <w:tc>
          <w:tcPr>
            <w:tcW w:w="699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E51EEF" w:rsidRPr="00045BB8" w:rsidRDefault="00E51EEF" w:rsidP="00DC5C34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45BB8">
              <w:rPr>
                <w:rFonts w:cs="Arial"/>
                <w:color w:val="000000"/>
                <w:sz w:val="18"/>
                <w:szCs w:val="18"/>
              </w:rPr>
              <w:t>904</w:t>
            </w:r>
          </w:p>
        </w:tc>
      </w:tr>
    </w:tbl>
    <w:p w:rsidR="00153BC4" w:rsidRDefault="00153BC4" w:rsidP="00543BF4">
      <w:pPr>
        <w:jc w:val="both"/>
      </w:pPr>
    </w:p>
    <w:p w:rsidR="00543BF4" w:rsidRDefault="00543BF4" w:rsidP="00543BF4"/>
    <w:p w:rsidR="00543BF4" w:rsidRDefault="00543BF4" w:rsidP="00543BF4"/>
    <w:p w:rsidR="00543BF4" w:rsidRDefault="00543BF4" w:rsidP="00543BF4">
      <w:pPr>
        <w:spacing w:line="360" w:lineRule="auto"/>
        <w:jc w:val="both"/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</w:pPr>
    </w:p>
    <w:p w:rsidR="00543BF4" w:rsidRDefault="00543BF4" w:rsidP="00543BF4">
      <w:pPr>
        <w:spacing w:line="360" w:lineRule="auto"/>
        <w:jc w:val="both"/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</w:pPr>
    </w:p>
    <w:p w:rsidR="00543BF4" w:rsidRDefault="00543BF4" w:rsidP="00543BF4">
      <w:pPr>
        <w:spacing w:line="360" w:lineRule="auto"/>
        <w:jc w:val="both"/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</w:pPr>
    </w:p>
    <w:p w:rsidR="00543BF4" w:rsidRDefault="00543BF4" w:rsidP="00543BF4">
      <w:pPr>
        <w:spacing w:line="360" w:lineRule="auto"/>
        <w:jc w:val="both"/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</w:pPr>
    </w:p>
    <w:p w:rsidR="00543BF4" w:rsidRDefault="00543BF4" w:rsidP="00543BF4">
      <w:pPr>
        <w:spacing w:line="360" w:lineRule="auto"/>
        <w:jc w:val="both"/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</w:pPr>
    </w:p>
    <w:p w:rsidR="00543BF4" w:rsidRDefault="00543BF4" w:rsidP="00543BF4">
      <w:pPr>
        <w:spacing w:line="360" w:lineRule="auto"/>
        <w:jc w:val="both"/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</w:pPr>
    </w:p>
    <w:p w:rsidR="00543BF4" w:rsidRDefault="00447AD5" w:rsidP="00114500">
      <w:pPr>
        <w:spacing w:line="360" w:lineRule="auto"/>
        <w:jc w:val="center"/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</w:pPr>
      <w:r>
        <w:rPr>
          <w:rFonts w:cs="Lucida Sans Unicode"/>
          <w:noProof/>
          <w:color w:val="000000" w:themeColor="text1"/>
          <w:bdr w:val="none" w:sz="0" w:space="0" w:color="auto" w:frame="1"/>
          <w:shd w:val="clear" w:color="auto" w:fill="FFFFFF"/>
        </w:rPr>
        <w:lastRenderedPageBreak/>
        <w:drawing>
          <wp:inline distT="0" distB="0" distL="0" distR="0">
            <wp:extent cx="5486400" cy="574243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ge_sizes_rearranged_PUBLISH.tif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74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BF4" w:rsidRPr="00447AD5" w:rsidRDefault="00447AD5" w:rsidP="00543BF4">
      <w:pPr>
        <w:spacing w:line="360" w:lineRule="auto"/>
        <w:jc w:val="both"/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</w:pPr>
      <w:r w:rsidRPr="00447AD5">
        <w:rPr>
          <w:rFonts w:cs="Lucida Sans Unicode"/>
          <w:b/>
          <w:color w:val="000000" w:themeColor="text1"/>
          <w:bdr w:val="none" w:sz="0" w:space="0" w:color="auto" w:frame="1"/>
          <w:shd w:val="clear" w:color="auto" w:fill="FFFFFF"/>
        </w:rPr>
        <w:t>Figure S4. Population size</w:t>
      </w:r>
      <w:r w:rsidR="00224F7D">
        <w:rPr>
          <w:rFonts w:cs="Lucida Sans Unicode"/>
          <w:b/>
          <w:color w:val="000000" w:themeColor="text1"/>
          <w:bdr w:val="none" w:sz="0" w:space="0" w:color="auto" w:frame="1"/>
          <w:shd w:val="clear" w:color="auto" w:fill="FFFFFF"/>
        </w:rPr>
        <w:t>s</w:t>
      </w:r>
      <w:r w:rsidRPr="00447AD5">
        <w:rPr>
          <w:rFonts w:cs="Lucida Sans Unicode"/>
          <w:b/>
          <w:color w:val="000000" w:themeColor="text1"/>
          <w:bdr w:val="none" w:sz="0" w:space="0" w:color="auto" w:frame="1"/>
          <w:shd w:val="clear" w:color="auto" w:fill="FFFFFF"/>
        </w:rPr>
        <w:t xml:space="preserve"> at the sampled generations across the four replicate populations.</w:t>
      </w:r>
      <w:r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 xml:space="preserve"> The generational time is shown along the abscissa and the numbers of flies on the ordinal axis. The </w:t>
      </w:r>
      <w:r w:rsidRPr="00447AD5">
        <w:rPr>
          <w:rFonts w:cs="Lucida Sans Unicode"/>
          <w:i/>
          <w:color w:val="000000" w:themeColor="text1"/>
          <w:bdr w:val="none" w:sz="0" w:space="0" w:color="auto" w:frame="1"/>
          <w:shd w:val="clear" w:color="auto" w:fill="FFFFFF"/>
        </w:rPr>
        <w:t>D. melanogaster</w:t>
      </w:r>
      <w:r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proofErr w:type="spellStart"/>
      <w:r w:rsidR="00114500"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>mtDNA</w:t>
      </w:r>
      <w:proofErr w:type="spellEnd"/>
      <w:r w:rsidR="00114500"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 xml:space="preserve">haplotype cages are shown in (A) and (C), and the </w:t>
      </w:r>
      <w:r w:rsidRPr="00447AD5">
        <w:rPr>
          <w:rFonts w:cs="Lucida Sans Unicode"/>
          <w:i/>
          <w:color w:val="000000" w:themeColor="text1"/>
          <w:bdr w:val="none" w:sz="0" w:space="0" w:color="auto" w:frame="1"/>
          <w:shd w:val="clear" w:color="auto" w:fill="FFFFFF"/>
        </w:rPr>
        <w:t xml:space="preserve">D. </w:t>
      </w:r>
      <w:proofErr w:type="spellStart"/>
      <w:r w:rsidRPr="00447AD5">
        <w:rPr>
          <w:rFonts w:cs="Lucida Sans Unicode"/>
          <w:i/>
          <w:color w:val="000000" w:themeColor="text1"/>
          <w:bdr w:val="none" w:sz="0" w:space="0" w:color="auto" w:frame="1"/>
          <w:shd w:val="clear" w:color="auto" w:fill="FFFFFF"/>
        </w:rPr>
        <w:t>simulans</w:t>
      </w:r>
      <w:proofErr w:type="spellEnd"/>
      <w:r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proofErr w:type="spellStart"/>
      <w:r w:rsidR="00114500"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>mtDNA</w:t>
      </w:r>
      <w:proofErr w:type="spellEnd"/>
      <w:r w:rsidR="00114500"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 xml:space="preserve">haplotype cages are shown in (B) and (D). </w:t>
      </w:r>
      <w:proofErr w:type="spellStart"/>
      <w:r w:rsidRPr="00447AD5">
        <w:rPr>
          <w:rFonts w:cs="Lucida Sans Unicode"/>
          <w:i/>
          <w:color w:val="000000" w:themeColor="text1"/>
          <w:bdr w:val="none" w:sz="0" w:space="0" w:color="auto" w:frame="1"/>
          <w:shd w:val="clear" w:color="auto" w:fill="FFFFFF"/>
        </w:rPr>
        <w:t>OreR</w:t>
      </w:r>
      <w:proofErr w:type="spellEnd"/>
      <w:r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 xml:space="preserve"> nuclear backgrounds are shown in (A) and (B), </w:t>
      </w:r>
      <w:proofErr w:type="spellStart"/>
      <w:r w:rsidRPr="00447AD5">
        <w:rPr>
          <w:rFonts w:cs="Lucida Sans Unicode"/>
          <w:i/>
          <w:color w:val="000000" w:themeColor="text1"/>
          <w:bdr w:val="none" w:sz="0" w:space="0" w:color="auto" w:frame="1"/>
          <w:shd w:val="clear" w:color="auto" w:fill="FFFFFF"/>
        </w:rPr>
        <w:t>Aut</w:t>
      </w:r>
      <w:proofErr w:type="spellEnd"/>
      <w:r>
        <w:rPr>
          <w:rFonts w:cs="Lucida Sans Unicode"/>
          <w:color w:val="000000" w:themeColor="text1"/>
          <w:bdr w:val="none" w:sz="0" w:space="0" w:color="auto" w:frame="1"/>
          <w:shd w:val="clear" w:color="auto" w:fill="FFFFFF"/>
        </w:rPr>
        <w:t xml:space="preserve"> nuclear backgrounds are shown in (C) and (D). Populations fluctuated over time and the </w:t>
      </w:r>
      <w:r w:rsidRPr="00447AD5">
        <w:rPr>
          <w:rFonts w:cs="Arial"/>
        </w:rPr>
        <w:t>grand mean</w:t>
      </w:r>
      <w:r>
        <w:rPr>
          <w:rFonts w:cs="Arial"/>
        </w:rPr>
        <w:t xml:space="preserve"> across all cages </w:t>
      </w:r>
      <w:r w:rsidRPr="00447AD5">
        <w:rPr>
          <w:rFonts w:cs="Arial"/>
        </w:rPr>
        <w:t>= 753.52</w:t>
      </w:r>
      <w:r>
        <w:rPr>
          <w:rFonts w:cs="Arial"/>
        </w:rPr>
        <w:t xml:space="preserve"> flies</w:t>
      </w:r>
      <w:r w:rsidRPr="00447AD5">
        <w:rPr>
          <w:rFonts w:cs="Arial"/>
        </w:rPr>
        <w:t xml:space="preserve"> (range= 453-1100, SD=122.5)</w:t>
      </w:r>
      <w:r>
        <w:rPr>
          <w:rFonts w:cs="Arial"/>
        </w:rPr>
        <w:t>. As noted above, the grand mean is a slight underestimate since flies often became stuck in the food and were not retrieved for genotyping and subsequent counting.</w:t>
      </w:r>
    </w:p>
    <w:p w:rsidR="00543BF4" w:rsidRPr="00E1086A" w:rsidRDefault="00543BF4" w:rsidP="00543BF4">
      <w:pPr>
        <w:pStyle w:val="Heading2"/>
        <w:rPr>
          <w:bdr w:val="none" w:sz="0" w:space="0" w:color="auto" w:frame="1"/>
          <w:shd w:val="clear" w:color="auto" w:fill="FFFFFF"/>
        </w:rPr>
      </w:pPr>
      <w:bookmarkStart w:id="3" w:name="_Toc360598"/>
      <w:r w:rsidRPr="00E1086A">
        <w:rPr>
          <w:bdr w:val="none" w:sz="0" w:space="0" w:color="auto" w:frame="1"/>
          <w:shd w:val="clear" w:color="auto" w:fill="FFFFFF"/>
        </w:rPr>
        <w:lastRenderedPageBreak/>
        <w:t>(</w:t>
      </w:r>
      <w:r>
        <w:rPr>
          <w:bdr w:val="none" w:sz="0" w:space="0" w:color="auto" w:frame="1"/>
          <w:shd w:val="clear" w:color="auto" w:fill="FFFFFF"/>
        </w:rPr>
        <w:t xml:space="preserve">iii) </w:t>
      </w:r>
      <w:r w:rsidRPr="00E1086A">
        <w:rPr>
          <w:bdr w:val="none" w:sz="0" w:space="0" w:color="auto" w:frame="1"/>
          <w:shd w:val="clear" w:color="auto" w:fill="FFFFFF"/>
        </w:rPr>
        <w:t>Supporting References</w:t>
      </w:r>
      <w:bookmarkEnd w:id="3"/>
    </w:p>
    <w:p w:rsidR="00224F7D" w:rsidRPr="00224F7D" w:rsidRDefault="000C2D40" w:rsidP="00224F7D">
      <w:pPr>
        <w:spacing w:after="0" w:line="240" w:lineRule="auto"/>
        <w:ind w:left="720" w:hanging="720"/>
        <w:jc w:val="both"/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</w:pPr>
      <w:r>
        <w:rPr>
          <w:rFonts w:cs="Lucida Sans Unicode"/>
          <w:b/>
          <w:color w:val="000000" w:themeColor="text1"/>
          <w:bdr w:val="none" w:sz="0" w:space="0" w:color="auto" w:frame="1"/>
          <w:shd w:val="clear" w:color="auto" w:fill="FFFFFF"/>
        </w:rPr>
        <w:fldChar w:fldCharType="begin"/>
      </w:r>
      <w:r w:rsidR="00543BF4">
        <w:rPr>
          <w:rFonts w:cs="Lucida Sans Unicode"/>
          <w:b/>
          <w:color w:val="000000" w:themeColor="text1"/>
          <w:bdr w:val="none" w:sz="0" w:space="0" w:color="auto" w:frame="1"/>
          <w:shd w:val="clear" w:color="auto" w:fill="FFFFFF"/>
        </w:rPr>
        <w:instrText xml:space="preserve"> ADDIN EN.REFLIST </w:instrText>
      </w:r>
      <w:r>
        <w:rPr>
          <w:rFonts w:cs="Lucida Sans Unicode"/>
          <w:b/>
          <w:color w:val="000000" w:themeColor="text1"/>
          <w:bdr w:val="none" w:sz="0" w:space="0" w:color="auto" w:frame="1"/>
          <w:shd w:val="clear" w:color="auto" w:fill="FFFFFF"/>
        </w:rPr>
        <w:fldChar w:fldCharType="separate"/>
      </w:r>
      <w:bookmarkStart w:id="4" w:name="_ENREF_1"/>
      <w:r w:rsidR="00224F7D"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Anders, S., P.T. Pyl, and W. Huber, 2015 HTSeq—a Python framework to work with high-throughput sequencing data. </w:t>
      </w:r>
      <w:r w:rsidR="00224F7D" w:rsidRPr="00224F7D">
        <w:rPr>
          <w:rFonts w:ascii="Calibri" w:hAnsi="Calibri" w:cs="Lucida Sans Unicode"/>
          <w:b/>
          <w:i/>
          <w:noProof/>
          <w:color w:val="000000" w:themeColor="text1"/>
          <w:bdr w:val="none" w:sz="0" w:space="0" w:color="auto" w:frame="1"/>
          <w:shd w:val="clear" w:color="auto" w:fill="FFFFFF"/>
        </w:rPr>
        <w:t>Bioinformatics</w:t>
      </w:r>
      <w:r w:rsidR="00224F7D"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 31 (2):166-169.</w:t>
      </w:r>
      <w:bookmarkEnd w:id="4"/>
    </w:p>
    <w:p w:rsidR="00224F7D" w:rsidRPr="00224F7D" w:rsidRDefault="00224F7D" w:rsidP="00224F7D">
      <w:pPr>
        <w:spacing w:after="0" w:line="240" w:lineRule="auto"/>
        <w:ind w:left="720" w:hanging="720"/>
        <w:jc w:val="both"/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</w:pPr>
      <w:bookmarkStart w:id="5" w:name="_ENREF_2"/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>Li, H., B. Handsaker, A. Wysoker, T. Fennell, J. Ruan</w:t>
      </w:r>
      <w:r w:rsidRPr="00224F7D">
        <w:rPr>
          <w:rFonts w:ascii="Calibri" w:hAnsi="Calibri" w:cs="Lucida Sans Unicode"/>
          <w:b/>
          <w:i/>
          <w:noProof/>
          <w:color w:val="000000" w:themeColor="text1"/>
          <w:bdr w:val="none" w:sz="0" w:space="0" w:color="auto" w:frame="1"/>
          <w:shd w:val="clear" w:color="auto" w:fill="FFFFFF"/>
        </w:rPr>
        <w:t xml:space="preserve"> et al.</w:t>
      </w:r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, 2009 The Sequence Alignment/Map format and SAMtools. </w:t>
      </w:r>
      <w:r w:rsidRPr="00224F7D">
        <w:rPr>
          <w:rFonts w:ascii="Calibri" w:hAnsi="Calibri" w:cs="Lucida Sans Unicode"/>
          <w:b/>
          <w:i/>
          <w:noProof/>
          <w:color w:val="000000" w:themeColor="text1"/>
          <w:bdr w:val="none" w:sz="0" w:space="0" w:color="auto" w:frame="1"/>
          <w:shd w:val="clear" w:color="auto" w:fill="FFFFFF"/>
        </w:rPr>
        <w:t>Bioinformatics</w:t>
      </w:r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 25 (16):2078-2079.</w:t>
      </w:r>
      <w:bookmarkEnd w:id="5"/>
    </w:p>
    <w:p w:rsidR="00224F7D" w:rsidRPr="00224F7D" w:rsidRDefault="00224F7D" w:rsidP="00224F7D">
      <w:pPr>
        <w:spacing w:after="0" w:line="240" w:lineRule="auto"/>
        <w:ind w:left="720" w:hanging="720"/>
        <w:jc w:val="both"/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</w:pPr>
      <w:bookmarkStart w:id="6" w:name="_ENREF_3"/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Mossman, J.A., R.M.S. Mabeza, E. Blake, N. Mehta, and D.M. Rand, 2019 Age of both parents influences reproduction and egg dumping behavior in Drosophila melanogaster. </w:t>
      </w:r>
      <w:r w:rsidRPr="00224F7D">
        <w:rPr>
          <w:rFonts w:ascii="Calibri" w:hAnsi="Calibri" w:cs="Lucida Sans Unicode"/>
          <w:b/>
          <w:i/>
          <w:noProof/>
          <w:color w:val="000000" w:themeColor="text1"/>
          <w:bdr w:val="none" w:sz="0" w:space="0" w:color="auto" w:frame="1"/>
          <w:shd w:val="clear" w:color="auto" w:fill="FFFFFF"/>
        </w:rPr>
        <w:t>Journal of Heredity</w:t>
      </w:r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>.</w:t>
      </w:r>
      <w:bookmarkEnd w:id="6"/>
    </w:p>
    <w:p w:rsidR="00224F7D" w:rsidRPr="00224F7D" w:rsidRDefault="00224F7D" w:rsidP="00224F7D">
      <w:pPr>
        <w:spacing w:after="0" w:line="240" w:lineRule="auto"/>
        <w:ind w:left="720" w:hanging="720"/>
        <w:jc w:val="both"/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</w:pPr>
      <w:bookmarkStart w:id="7" w:name="_ENREF_4"/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>Mossman, J.A., J.G. Tross, N.A. Jourjine, N. Li, Z. Wu</w:t>
      </w:r>
      <w:r w:rsidRPr="00224F7D">
        <w:rPr>
          <w:rFonts w:ascii="Calibri" w:hAnsi="Calibri" w:cs="Lucida Sans Unicode"/>
          <w:b/>
          <w:i/>
          <w:noProof/>
          <w:color w:val="000000" w:themeColor="text1"/>
          <w:bdr w:val="none" w:sz="0" w:space="0" w:color="auto" w:frame="1"/>
          <w:shd w:val="clear" w:color="auto" w:fill="FFFFFF"/>
        </w:rPr>
        <w:t xml:space="preserve"> et al.</w:t>
      </w:r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, 2017 Mitonuclear Interactions Mediate Transcriptional Responses to Hypoxia in Drosophila. </w:t>
      </w:r>
      <w:r w:rsidRPr="00224F7D">
        <w:rPr>
          <w:rFonts w:ascii="Calibri" w:hAnsi="Calibri" w:cs="Lucida Sans Unicode"/>
          <w:b/>
          <w:i/>
          <w:noProof/>
          <w:color w:val="000000" w:themeColor="text1"/>
          <w:bdr w:val="none" w:sz="0" w:space="0" w:color="auto" w:frame="1"/>
          <w:shd w:val="clear" w:color="auto" w:fill="FFFFFF"/>
        </w:rPr>
        <w:t>Molecular Biology and Evolution</w:t>
      </w:r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 34 (2):447-466.</w:t>
      </w:r>
      <w:bookmarkEnd w:id="7"/>
    </w:p>
    <w:p w:rsidR="00224F7D" w:rsidRPr="00224F7D" w:rsidRDefault="00224F7D" w:rsidP="00224F7D">
      <w:pPr>
        <w:spacing w:after="0" w:line="240" w:lineRule="auto"/>
        <w:ind w:left="720" w:hanging="720"/>
        <w:jc w:val="both"/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</w:pPr>
      <w:bookmarkStart w:id="8" w:name="_ENREF_5"/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Mossman, J.A., J.G. Tross, N. Li, Z. Wu, and D.M. Rand, 2016 Mitochondrial-Nuclear Interactions Mediate Sex-Specific Transcriptional Profiles in Drosophila. </w:t>
      </w:r>
      <w:r w:rsidRPr="00224F7D">
        <w:rPr>
          <w:rFonts w:ascii="Calibri" w:hAnsi="Calibri" w:cs="Lucida Sans Unicode"/>
          <w:b/>
          <w:i/>
          <w:noProof/>
          <w:color w:val="000000" w:themeColor="text1"/>
          <w:bdr w:val="none" w:sz="0" w:space="0" w:color="auto" w:frame="1"/>
          <w:shd w:val="clear" w:color="auto" w:fill="FFFFFF"/>
        </w:rPr>
        <w:t>Genetics</w:t>
      </w:r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 204 (2):613-630.</w:t>
      </w:r>
      <w:bookmarkEnd w:id="8"/>
    </w:p>
    <w:p w:rsidR="00224F7D" w:rsidRPr="00224F7D" w:rsidRDefault="00224F7D" w:rsidP="00224F7D">
      <w:pPr>
        <w:spacing w:line="240" w:lineRule="auto"/>
        <w:ind w:left="720" w:hanging="720"/>
        <w:jc w:val="both"/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</w:pPr>
      <w:bookmarkStart w:id="9" w:name="_ENREF_6"/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>Trapnell, C., A. Roberts, L. Goff, G. Pertea, D. Kim</w:t>
      </w:r>
      <w:r w:rsidRPr="00224F7D">
        <w:rPr>
          <w:rFonts w:ascii="Calibri" w:hAnsi="Calibri" w:cs="Lucida Sans Unicode"/>
          <w:b/>
          <w:i/>
          <w:noProof/>
          <w:color w:val="000000" w:themeColor="text1"/>
          <w:bdr w:val="none" w:sz="0" w:space="0" w:color="auto" w:frame="1"/>
          <w:shd w:val="clear" w:color="auto" w:fill="FFFFFF"/>
        </w:rPr>
        <w:t xml:space="preserve"> et al.</w:t>
      </w:r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, 2012 Differential gene and transcript expression analysis of RNA-seq experiments with TopHat and Cufflinks. </w:t>
      </w:r>
      <w:r w:rsidRPr="00224F7D">
        <w:rPr>
          <w:rFonts w:ascii="Calibri" w:hAnsi="Calibri" w:cs="Lucida Sans Unicode"/>
          <w:b/>
          <w:i/>
          <w:noProof/>
          <w:color w:val="000000" w:themeColor="text1"/>
          <w:bdr w:val="none" w:sz="0" w:space="0" w:color="auto" w:frame="1"/>
          <w:shd w:val="clear" w:color="auto" w:fill="FFFFFF"/>
        </w:rPr>
        <w:t>Nat. Protocols</w:t>
      </w:r>
      <w:r w:rsidRPr="00224F7D"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  <w:t xml:space="preserve"> 7 (3):562-578.</w:t>
      </w:r>
      <w:bookmarkEnd w:id="9"/>
    </w:p>
    <w:p w:rsidR="00224F7D" w:rsidRDefault="00224F7D" w:rsidP="00224F7D">
      <w:pPr>
        <w:spacing w:line="240" w:lineRule="auto"/>
        <w:jc w:val="both"/>
        <w:rPr>
          <w:rFonts w:ascii="Calibri" w:hAnsi="Calibri" w:cs="Lucida Sans Unicode"/>
          <w:b/>
          <w:noProof/>
          <w:color w:val="000000" w:themeColor="text1"/>
          <w:bdr w:val="none" w:sz="0" w:space="0" w:color="auto" w:frame="1"/>
          <w:shd w:val="clear" w:color="auto" w:fill="FFFFFF"/>
        </w:rPr>
      </w:pPr>
    </w:p>
    <w:p w:rsidR="00543BF4" w:rsidRPr="00415DBA" w:rsidRDefault="000C2D40" w:rsidP="00543BF4">
      <w:pPr>
        <w:spacing w:line="360" w:lineRule="auto"/>
        <w:jc w:val="both"/>
        <w:rPr>
          <w:rFonts w:cs="Lucida Sans Unicode"/>
          <w:b/>
          <w:color w:val="000000" w:themeColor="text1"/>
          <w:bdr w:val="none" w:sz="0" w:space="0" w:color="auto" w:frame="1"/>
          <w:shd w:val="clear" w:color="auto" w:fill="FFFFFF"/>
        </w:rPr>
      </w:pPr>
      <w:r>
        <w:rPr>
          <w:rFonts w:cs="Lucida Sans Unicode"/>
          <w:b/>
          <w:color w:val="000000" w:themeColor="text1"/>
          <w:bdr w:val="none" w:sz="0" w:space="0" w:color="auto" w:frame="1"/>
          <w:shd w:val="clear" w:color="auto" w:fill="FFFFFF"/>
        </w:rPr>
        <w:fldChar w:fldCharType="end"/>
      </w:r>
    </w:p>
    <w:p w:rsidR="00543BF4" w:rsidRDefault="00543BF4" w:rsidP="00543BF4"/>
    <w:p w:rsidR="00543BF4" w:rsidRPr="00543BF4" w:rsidRDefault="00543BF4" w:rsidP="00543BF4"/>
    <w:sectPr w:rsidR="00543BF4" w:rsidRPr="00543BF4" w:rsidSect="000C2D40">
      <w:foot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2AEF" w:rsidRDefault="00112AEF" w:rsidP="00543BF4">
      <w:pPr>
        <w:spacing w:after="0" w:line="240" w:lineRule="auto"/>
      </w:pPr>
      <w:r>
        <w:separator/>
      </w:r>
    </w:p>
  </w:endnote>
  <w:endnote w:type="continuationSeparator" w:id="0">
    <w:p w:rsidR="00112AEF" w:rsidRDefault="00112AEF" w:rsidP="00543B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40376168"/>
      <w:docPartObj>
        <w:docPartGallery w:val="Page Numbers (Bottom of Page)"/>
        <w:docPartUnique/>
      </w:docPartObj>
    </w:sdtPr>
    <w:sdtEndPr/>
    <w:sdtContent>
      <w:p w:rsidR="00112AEF" w:rsidRDefault="00112AE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24F7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12AEF" w:rsidRDefault="00112AE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1069313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12AEF" w:rsidRDefault="00112AE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24F7D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112AEF" w:rsidRDefault="00112AE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2AEF" w:rsidRDefault="00112AEF" w:rsidP="00543BF4">
      <w:pPr>
        <w:spacing w:after="0" w:line="240" w:lineRule="auto"/>
      </w:pPr>
      <w:r>
        <w:separator/>
      </w:r>
    </w:p>
  </w:footnote>
  <w:footnote w:type="continuationSeparator" w:id="0">
    <w:p w:rsidR="00112AEF" w:rsidRDefault="00112AEF" w:rsidP="00543B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228E5"/>
    <w:multiLevelType w:val="hybridMultilevel"/>
    <w:tmpl w:val="49B4F000"/>
    <w:lvl w:ilvl="0" w:tplc="93FEE282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C3531C"/>
    <w:multiLevelType w:val="hybridMultilevel"/>
    <w:tmpl w:val="D2661C26"/>
    <w:lvl w:ilvl="0" w:tplc="5050A462">
      <w:start w:val="1"/>
      <w:numFmt w:val="lowerRoman"/>
      <w:lvlText w:val="(%1)"/>
      <w:lvlJc w:val="left"/>
      <w:pPr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G3 (GSA) (1) Copy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wzvv0wp0wxpadcetxe25sr51adrwavs02ffz&quot;&gt;My EndNote Library Copy Copy&lt;record-ids&gt;&lt;item&gt;1557&lt;/item&gt;&lt;item&gt;4533&lt;/item&gt;&lt;item&gt;4534&lt;/item&gt;&lt;item&gt;5121&lt;/item&gt;&lt;item&gt;5145&lt;/item&gt;&lt;item&gt;5240&lt;/item&gt;&lt;/record-ids&gt;&lt;/item&gt;&lt;/Libraries&gt;"/>
  </w:docVars>
  <w:rsids>
    <w:rsidRoot w:val="00543BF4"/>
    <w:rsid w:val="000C2D40"/>
    <w:rsid w:val="00112AEF"/>
    <w:rsid w:val="00114500"/>
    <w:rsid w:val="00136FFD"/>
    <w:rsid w:val="00153BC4"/>
    <w:rsid w:val="00224F7D"/>
    <w:rsid w:val="00351728"/>
    <w:rsid w:val="00383D9A"/>
    <w:rsid w:val="004417CD"/>
    <w:rsid w:val="00447AD5"/>
    <w:rsid w:val="00543BF4"/>
    <w:rsid w:val="006C70AD"/>
    <w:rsid w:val="006D27D2"/>
    <w:rsid w:val="008D19DA"/>
    <w:rsid w:val="00900751"/>
    <w:rsid w:val="00A31566"/>
    <w:rsid w:val="00CD3155"/>
    <w:rsid w:val="00D531E1"/>
    <w:rsid w:val="00D66EF1"/>
    <w:rsid w:val="00D950AF"/>
    <w:rsid w:val="00DC5C34"/>
    <w:rsid w:val="00E51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2D40"/>
  </w:style>
  <w:style w:type="paragraph" w:styleId="Heading1">
    <w:name w:val="heading 1"/>
    <w:basedOn w:val="Normal"/>
    <w:link w:val="Heading1Char"/>
    <w:uiPriority w:val="9"/>
    <w:qFormat/>
    <w:rsid w:val="00543BF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43BF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43BF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43BF4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43B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43BF4"/>
  </w:style>
  <w:style w:type="paragraph" w:styleId="Footer">
    <w:name w:val="footer"/>
    <w:basedOn w:val="Normal"/>
    <w:link w:val="FooterChar"/>
    <w:uiPriority w:val="99"/>
    <w:unhideWhenUsed/>
    <w:rsid w:val="00543B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43BF4"/>
  </w:style>
  <w:style w:type="character" w:customStyle="1" w:styleId="Heading2Char">
    <w:name w:val="Heading 2 Char"/>
    <w:basedOn w:val="DefaultParagraphFont"/>
    <w:link w:val="Heading2"/>
    <w:uiPriority w:val="9"/>
    <w:rsid w:val="00543BF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543BF4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43BF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it-gray">
    <w:name w:val="cit-gray"/>
    <w:basedOn w:val="DefaultParagraphFont"/>
    <w:rsid w:val="00543BF4"/>
  </w:style>
  <w:style w:type="character" w:styleId="LineNumber">
    <w:name w:val="line number"/>
    <w:basedOn w:val="DefaultParagraphFont"/>
    <w:uiPriority w:val="99"/>
    <w:semiHidden/>
    <w:unhideWhenUsed/>
    <w:rsid w:val="00543BF4"/>
  </w:style>
  <w:style w:type="character" w:customStyle="1" w:styleId="jrnl">
    <w:name w:val="jrnl"/>
    <w:basedOn w:val="DefaultParagraphFont"/>
    <w:rsid w:val="00543BF4"/>
  </w:style>
  <w:style w:type="character" w:customStyle="1" w:styleId="highlight">
    <w:name w:val="highlight"/>
    <w:basedOn w:val="DefaultParagraphFont"/>
    <w:rsid w:val="00543BF4"/>
  </w:style>
  <w:style w:type="character" w:styleId="Emphasis">
    <w:name w:val="Emphasis"/>
    <w:basedOn w:val="DefaultParagraphFont"/>
    <w:uiPriority w:val="20"/>
    <w:qFormat/>
    <w:rsid w:val="00543BF4"/>
    <w:rPr>
      <w:i/>
      <w:iCs/>
    </w:rPr>
  </w:style>
  <w:style w:type="character" w:styleId="HTMLCite">
    <w:name w:val="HTML Cite"/>
    <w:basedOn w:val="DefaultParagraphFont"/>
    <w:uiPriority w:val="99"/>
    <w:semiHidden/>
    <w:unhideWhenUsed/>
    <w:rsid w:val="00543BF4"/>
    <w:rPr>
      <w:i/>
      <w:iCs/>
    </w:rPr>
  </w:style>
  <w:style w:type="character" w:customStyle="1" w:styleId="slug-pages">
    <w:name w:val="slug-pages"/>
    <w:basedOn w:val="DefaultParagraphFont"/>
    <w:rsid w:val="00543BF4"/>
  </w:style>
  <w:style w:type="character" w:customStyle="1" w:styleId="apple-converted-space">
    <w:name w:val="apple-converted-space"/>
    <w:basedOn w:val="DefaultParagraphFont"/>
    <w:rsid w:val="00543BF4"/>
  </w:style>
  <w:style w:type="table" w:styleId="TableGrid">
    <w:name w:val="Table Grid"/>
    <w:basedOn w:val="TableNormal"/>
    <w:uiPriority w:val="59"/>
    <w:rsid w:val="00543BF4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543BF4"/>
    <w:rPr>
      <w:b/>
      <w:bCs/>
    </w:rPr>
  </w:style>
  <w:style w:type="paragraph" w:styleId="ListParagraph">
    <w:name w:val="List Paragraph"/>
    <w:basedOn w:val="Normal"/>
    <w:uiPriority w:val="34"/>
    <w:qFormat/>
    <w:rsid w:val="00543BF4"/>
    <w:pPr>
      <w:ind w:left="720"/>
      <w:contextualSpacing/>
    </w:pPr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43BF4"/>
    <w:pPr>
      <w:spacing w:after="0" w:line="240" w:lineRule="auto"/>
    </w:pPr>
    <w:rPr>
      <w:rFonts w:ascii="Tahoma" w:eastAsiaTheme="minorEastAsi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3BF4"/>
    <w:rPr>
      <w:rFonts w:ascii="Tahoma" w:eastAsiaTheme="minorEastAsi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43BF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543BF4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543BF4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43BF4"/>
    <w:pPr>
      <w:spacing w:line="240" w:lineRule="auto"/>
    </w:pPr>
    <w:rPr>
      <w:rFonts w:eastAsiaTheme="minorEastAsia"/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43BF4"/>
    <w:rPr>
      <w:rFonts w:eastAsiaTheme="minorEastAsia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3BF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3BF4"/>
    <w:rPr>
      <w:rFonts w:eastAsiaTheme="minorEastAsia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543BF4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543BF4"/>
    <w:pPr>
      <w:spacing w:before="360" w:after="0"/>
    </w:pPr>
    <w:rPr>
      <w:rFonts w:asciiTheme="majorHAnsi" w:eastAsiaTheme="minorEastAsia" w:hAnsiTheme="majorHAnsi"/>
      <w:b/>
      <w:bCs/>
      <w:caps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543BF4"/>
    <w:pPr>
      <w:tabs>
        <w:tab w:val="right" w:pos="10070"/>
      </w:tabs>
      <w:spacing w:before="240" w:after="0"/>
    </w:pPr>
    <w:rPr>
      <w:rFonts w:eastAsiaTheme="minorEastAsia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543BF4"/>
    <w:pPr>
      <w:spacing w:after="0"/>
      <w:ind w:left="220"/>
    </w:pPr>
    <w:rPr>
      <w:rFonts w:eastAsiaTheme="minorEastAsia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543BF4"/>
    <w:pPr>
      <w:spacing w:after="0"/>
      <w:ind w:left="440"/>
    </w:pPr>
    <w:rPr>
      <w:rFonts w:eastAsiaTheme="minorEastAsia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543BF4"/>
    <w:pPr>
      <w:spacing w:after="0"/>
      <w:ind w:left="660"/>
    </w:pPr>
    <w:rPr>
      <w:rFonts w:eastAsiaTheme="minorEastAsia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543BF4"/>
    <w:pPr>
      <w:spacing w:after="0"/>
      <w:ind w:left="880"/>
    </w:pPr>
    <w:rPr>
      <w:rFonts w:eastAsiaTheme="minorEastAsia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543BF4"/>
    <w:pPr>
      <w:spacing w:after="0"/>
      <w:ind w:left="1100"/>
    </w:pPr>
    <w:rPr>
      <w:rFonts w:eastAsiaTheme="minorEastAsia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543BF4"/>
    <w:pPr>
      <w:spacing w:after="0"/>
      <w:ind w:left="1320"/>
    </w:pPr>
    <w:rPr>
      <w:rFonts w:eastAsiaTheme="minorEastAsia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543BF4"/>
    <w:pPr>
      <w:spacing w:after="0"/>
      <w:ind w:left="1540"/>
    </w:pPr>
    <w:rPr>
      <w:rFonts w:eastAsiaTheme="minorEastAsia"/>
      <w:sz w:val="20"/>
      <w:szCs w:val="20"/>
    </w:rPr>
  </w:style>
  <w:style w:type="table" w:styleId="LightShading">
    <w:name w:val="Light Shading"/>
    <w:basedOn w:val="TableNormal"/>
    <w:uiPriority w:val="60"/>
    <w:rsid w:val="00351728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543BF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43BF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43BF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43BF4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43B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43BF4"/>
  </w:style>
  <w:style w:type="paragraph" w:styleId="Footer">
    <w:name w:val="footer"/>
    <w:basedOn w:val="Normal"/>
    <w:link w:val="FooterChar"/>
    <w:uiPriority w:val="99"/>
    <w:unhideWhenUsed/>
    <w:rsid w:val="00543B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43BF4"/>
  </w:style>
  <w:style w:type="character" w:customStyle="1" w:styleId="Heading2Char">
    <w:name w:val="Heading 2 Char"/>
    <w:basedOn w:val="DefaultParagraphFont"/>
    <w:link w:val="Heading2"/>
    <w:uiPriority w:val="9"/>
    <w:rsid w:val="00543BF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543BF4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43BF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it-gray">
    <w:name w:val="cit-gray"/>
    <w:basedOn w:val="DefaultParagraphFont"/>
    <w:rsid w:val="00543BF4"/>
  </w:style>
  <w:style w:type="character" w:styleId="LineNumber">
    <w:name w:val="line number"/>
    <w:basedOn w:val="DefaultParagraphFont"/>
    <w:uiPriority w:val="99"/>
    <w:semiHidden/>
    <w:unhideWhenUsed/>
    <w:rsid w:val="00543BF4"/>
  </w:style>
  <w:style w:type="character" w:customStyle="1" w:styleId="jrnl">
    <w:name w:val="jrnl"/>
    <w:basedOn w:val="DefaultParagraphFont"/>
    <w:rsid w:val="00543BF4"/>
  </w:style>
  <w:style w:type="character" w:customStyle="1" w:styleId="highlight">
    <w:name w:val="highlight"/>
    <w:basedOn w:val="DefaultParagraphFont"/>
    <w:rsid w:val="00543BF4"/>
  </w:style>
  <w:style w:type="character" w:styleId="Emphasis">
    <w:name w:val="Emphasis"/>
    <w:basedOn w:val="DefaultParagraphFont"/>
    <w:uiPriority w:val="20"/>
    <w:qFormat/>
    <w:rsid w:val="00543BF4"/>
    <w:rPr>
      <w:i/>
      <w:iCs/>
    </w:rPr>
  </w:style>
  <w:style w:type="character" w:styleId="HTMLCite">
    <w:name w:val="HTML Cite"/>
    <w:basedOn w:val="DefaultParagraphFont"/>
    <w:uiPriority w:val="99"/>
    <w:semiHidden/>
    <w:unhideWhenUsed/>
    <w:rsid w:val="00543BF4"/>
    <w:rPr>
      <w:i/>
      <w:iCs/>
    </w:rPr>
  </w:style>
  <w:style w:type="character" w:customStyle="1" w:styleId="slug-pages">
    <w:name w:val="slug-pages"/>
    <w:basedOn w:val="DefaultParagraphFont"/>
    <w:rsid w:val="00543BF4"/>
  </w:style>
  <w:style w:type="character" w:customStyle="1" w:styleId="apple-converted-space">
    <w:name w:val="apple-converted-space"/>
    <w:basedOn w:val="DefaultParagraphFont"/>
    <w:rsid w:val="00543BF4"/>
  </w:style>
  <w:style w:type="table" w:styleId="TableGrid">
    <w:name w:val="Table Grid"/>
    <w:basedOn w:val="TableNormal"/>
    <w:uiPriority w:val="59"/>
    <w:rsid w:val="00543BF4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543BF4"/>
    <w:rPr>
      <w:b/>
      <w:bCs/>
    </w:rPr>
  </w:style>
  <w:style w:type="paragraph" w:styleId="ListParagraph">
    <w:name w:val="List Paragraph"/>
    <w:basedOn w:val="Normal"/>
    <w:uiPriority w:val="34"/>
    <w:qFormat/>
    <w:rsid w:val="00543BF4"/>
    <w:pPr>
      <w:ind w:left="720"/>
      <w:contextualSpacing/>
    </w:pPr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43BF4"/>
    <w:pPr>
      <w:spacing w:after="0" w:line="240" w:lineRule="auto"/>
    </w:pPr>
    <w:rPr>
      <w:rFonts w:ascii="Tahoma" w:eastAsiaTheme="minorEastAsi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3BF4"/>
    <w:rPr>
      <w:rFonts w:ascii="Tahoma" w:eastAsiaTheme="minorEastAsi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43BF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543BF4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543BF4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43BF4"/>
    <w:pPr>
      <w:spacing w:line="240" w:lineRule="auto"/>
    </w:pPr>
    <w:rPr>
      <w:rFonts w:eastAsiaTheme="minorEastAsia"/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43BF4"/>
    <w:rPr>
      <w:rFonts w:eastAsiaTheme="minorEastAsia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3BF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3BF4"/>
    <w:rPr>
      <w:rFonts w:eastAsiaTheme="minorEastAsia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543BF4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543BF4"/>
    <w:pPr>
      <w:spacing w:before="360" w:after="0"/>
    </w:pPr>
    <w:rPr>
      <w:rFonts w:asciiTheme="majorHAnsi" w:eastAsiaTheme="minorEastAsia" w:hAnsiTheme="majorHAnsi"/>
      <w:b/>
      <w:bCs/>
      <w:caps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543BF4"/>
    <w:pPr>
      <w:tabs>
        <w:tab w:val="right" w:pos="10070"/>
      </w:tabs>
      <w:spacing w:before="240" w:after="0"/>
    </w:pPr>
    <w:rPr>
      <w:rFonts w:eastAsiaTheme="minorEastAsia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543BF4"/>
    <w:pPr>
      <w:spacing w:after="0"/>
      <w:ind w:left="220"/>
    </w:pPr>
    <w:rPr>
      <w:rFonts w:eastAsiaTheme="minorEastAsia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543BF4"/>
    <w:pPr>
      <w:spacing w:after="0"/>
      <w:ind w:left="440"/>
    </w:pPr>
    <w:rPr>
      <w:rFonts w:eastAsiaTheme="minorEastAsia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543BF4"/>
    <w:pPr>
      <w:spacing w:after="0"/>
      <w:ind w:left="660"/>
    </w:pPr>
    <w:rPr>
      <w:rFonts w:eastAsiaTheme="minorEastAsia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543BF4"/>
    <w:pPr>
      <w:spacing w:after="0"/>
      <w:ind w:left="880"/>
    </w:pPr>
    <w:rPr>
      <w:rFonts w:eastAsiaTheme="minorEastAsia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543BF4"/>
    <w:pPr>
      <w:spacing w:after="0"/>
      <w:ind w:left="1100"/>
    </w:pPr>
    <w:rPr>
      <w:rFonts w:eastAsiaTheme="minorEastAsia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543BF4"/>
    <w:pPr>
      <w:spacing w:after="0"/>
      <w:ind w:left="1320"/>
    </w:pPr>
    <w:rPr>
      <w:rFonts w:eastAsiaTheme="minorEastAsia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543BF4"/>
    <w:pPr>
      <w:spacing w:after="0"/>
      <w:ind w:left="1540"/>
    </w:pPr>
    <w:rPr>
      <w:rFonts w:eastAsiaTheme="minorEastAsia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im_mossman@brown.edu" TargetMode="External"/><Relationship Id="rId13" Type="http://schemas.openxmlformats.org/officeDocument/2006/relationships/image" Target="media/image2.tiff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tif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bioinformatics.babraham.ac.uk/projects/fastqc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tiff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mailto:David_Rand@Brown.edu" TargetMode="External"/><Relationship Id="rId14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10</Pages>
  <Words>2656</Words>
  <Characters>15145</Characters>
  <Application>Microsoft Office Word</Application>
  <DocSecurity>0</DocSecurity>
  <Lines>126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Brown University</Company>
  <LinksUpToDate>false</LinksUpToDate>
  <CharactersWithSpaces>17766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Mossman, James</dc:creator>
  <cp:lastModifiedBy>Mossman, James</cp:lastModifiedBy>
  <cp:revision>10</cp:revision>
  <dcterms:created xsi:type="dcterms:W3CDTF">2019-02-06T18:45:00Z</dcterms:created>
  <dcterms:modified xsi:type="dcterms:W3CDTF">2019-02-07T19:45:00Z</dcterms:modified>
</cp:coreProperties>
</file>