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AF2" w:rsidRPr="00CA2CAA" w:rsidRDefault="00010AF2" w:rsidP="00CA2CAA">
      <w:pPr>
        <w:spacing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CA2CAA">
        <w:rPr>
          <w:rFonts w:ascii="Times New Roman" w:eastAsia="Calibri" w:hAnsi="Times New Roman" w:cs="Times New Roman"/>
          <w:b/>
          <w:sz w:val="24"/>
          <w:szCs w:val="24"/>
        </w:rPr>
        <w:t xml:space="preserve">Supplementary </w:t>
      </w:r>
      <w:r w:rsidRPr="00CA2CAA">
        <w:rPr>
          <w:rFonts w:ascii="Times New Roman" w:eastAsia="Calibri" w:hAnsi="Times New Roman" w:cs="Times New Roman"/>
          <w:b/>
          <w:noProof/>
          <w:sz w:val="24"/>
          <w:szCs w:val="24"/>
        </w:rPr>
        <w:t>References</w:t>
      </w:r>
    </w:p>
    <w:p w:rsidR="00010AF2" w:rsidRPr="00010AF2" w:rsidRDefault="00010AF2" w:rsidP="00010AF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AF2">
        <w:rPr>
          <w:rFonts w:ascii="Times New Roman" w:eastAsia="Calibri" w:hAnsi="Times New Roman" w:cs="Times New Roman"/>
          <w:sz w:val="24"/>
          <w:szCs w:val="24"/>
        </w:rPr>
        <w:t xml:space="preserve">Abenza, J.F., A. Galindo, A. Pantazopoulou, C. Gil, V. de los Ríos, and M.A. Peñalva, 2010 Aspergillus RabB Rab5 integrates acquisition of degradative identity with the long distance movement of early endosomes. Mol. Biol. Cell. 21: 2756-2769. </w:t>
      </w:r>
    </w:p>
    <w:p w:rsidR="00010AF2" w:rsidRPr="00010AF2" w:rsidRDefault="00010AF2" w:rsidP="00010AF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AF2">
        <w:rPr>
          <w:rFonts w:ascii="Times New Roman" w:eastAsia="Calibri" w:hAnsi="Times New Roman" w:cs="Times New Roman"/>
          <w:sz w:val="24"/>
          <w:szCs w:val="24"/>
        </w:rPr>
        <w:t xml:space="preserve">Araujo-Bazán, L., M.A. Peñalva, and E.A. Espeso, 2008 Preferential localization of the endocytic internalization machinery to hyphal tips underlies polarization of the actin cytoskeleton in Aspergillus nidulans. Mol. Microbiol. 67: 891-905. </w:t>
      </w:r>
    </w:p>
    <w:p w:rsidR="00010AF2" w:rsidRPr="00010AF2" w:rsidRDefault="00010AF2" w:rsidP="00010AF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AF2">
        <w:rPr>
          <w:rFonts w:ascii="Times New Roman" w:eastAsia="Calibri" w:hAnsi="Times New Roman" w:cs="Times New Roman"/>
          <w:sz w:val="24"/>
          <w:szCs w:val="24"/>
        </w:rPr>
        <w:t xml:space="preserve">Hernández-Rodríguez, Y., S. Masuo, D. Johnson, R. Orlando, A. Smith </w:t>
      </w:r>
      <w:r w:rsidRPr="00010AF2">
        <w:rPr>
          <w:rFonts w:ascii="Times New Roman" w:eastAsia="Calibri" w:hAnsi="Times New Roman" w:cs="Times New Roman"/>
          <w:i/>
          <w:sz w:val="24"/>
          <w:szCs w:val="24"/>
        </w:rPr>
        <w:t>et al</w:t>
      </w:r>
      <w:r w:rsidRPr="00010AF2">
        <w:rPr>
          <w:rFonts w:ascii="Times New Roman" w:eastAsia="Calibri" w:hAnsi="Times New Roman" w:cs="Times New Roman"/>
          <w:sz w:val="24"/>
          <w:szCs w:val="24"/>
        </w:rPr>
        <w:t xml:space="preserve">., 2014 Distinct septin heteropolymers co-exist during multicellular development in the filamentous fungus Aspergillus nidulans. PLoS One. 9: e92819. </w:t>
      </w:r>
    </w:p>
    <w:p w:rsidR="00010AF2" w:rsidRPr="00010AF2" w:rsidRDefault="00010AF2" w:rsidP="00010AF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AF2">
        <w:rPr>
          <w:rFonts w:ascii="Times New Roman" w:eastAsia="Calibri" w:hAnsi="Times New Roman" w:cs="Times New Roman"/>
          <w:sz w:val="24"/>
          <w:szCs w:val="24"/>
        </w:rPr>
        <w:t xml:space="preserve">Karachaliou, M., S. Amillis, M. Evangelinos, A.C. Kokotos, V. Yalelis, and G. Diallinas, 2013 The arrestin-like protein ArtA is essential for ubiquitination and endocytosis of the UapA transporter in response to both broad-range and specific signals. Mol. Microbiol. 88: 301-317. </w:t>
      </w:r>
    </w:p>
    <w:p w:rsidR="00010AF2" w:rsidRPr="00010AF2" w:rsidRDefault="00010AF2" w:rsidP="00010AF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AF2">
        <w:rPr>
          <w:rFonts w:ascii="Times New Roman" w:eastAsia="Calibri" w:hAnsi="Times New Roman" w:cs="Times New Roman"/>
          <w:sz w:val="24"/>
          <w:szCs w:val="24"/>
        </w:rPr>
        <w:t>Konzack, S., P.E. Rischitor, C. Enke, and R. Fischer, 2005 The role of the kinesin motor KipA in microtubule organization and polarized growth of Aspergillus nidulans. Mol. Biol. Cell. 16: 497-506.</w:t>
      </w:r>
    </w:p>
    <w:p w:rsidR="00010AF2" w:rsidRPr="00010AF2" w:rsidRDefault="00010AF2" w:rsidP="00010AF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AF2">
        <w:rPr>
          <w:rFonts w:ascii="Times New Roman" w:eastAsia="Calibri" w:hAnsi="Times New Roman" w:cs="Times New Roman"/>
          <w:sz w:val="24"/>
          <w:szCs w:val="24"/>
        </w:rPr>
        <w:t xml:space="preserve">Lindsey, R., S. Cowden, Y. Hernández-Rodríguez, and M. Momany, 2010 Septins AspA and AspC are important for normal development and limit the emergence of new growth foci in the multicellular fungus Aspergillus nidulans. Eukaryot. Cell. 9: 155-163. </w:t>
      </w:r>
    </w:p>
    <w:p w:rsidR="00010AF2" w:rsidRPr="00010AF2" w:rsidRDefault="00010AF2" w:rsidP="00010AF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AF2">
        <w:rPr>
          <w:rFonts w:ascii="Times New Roman" w:eastAsia="Calibri" w:hAnsi="Times New Roman" w:cs="Times New Roman"/>
          <w:sz w:val="24"/>
          <w:szCs w:val="24"/>
        </w:rPr>
        <w:t xml:space="preserve">Martzoukou, O., S. Amillis, A. Zervakou, S. Christoforidis, and G. Diallinas, 2017 The AP-2 complex has a specialized clathrin-independent role in apical endocytosis and polar growth in fungi. Elife. 6: e20083. </w:t>
      </w:r>
    </w:p>
    <w:p w:rsidR="00010AF2" w:rsidRPr="00010AF2" w:rsidRDefault="00010AF2" w:rsidP="00010AF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010AF2">
        <w:rPr>
          <w:rFonts w:ascii="Times New Roman" w:eastAsia="Calibri" w:hAnsi="Times New Roman" w:cs="Times New Roman"/>
          <w:noProof/>
          <w:sz w:val="24"/>
          <w:szCs w:val="24"/>
        </w:rPr>
        <w:t xml:space="preserve">Nayak, T., E. Szewczyk, C.E. Oakley, A. Osmani, L. Ukil </w:t>
      </w:r>
      <w:r w:rsidRPr="00010AF2">
        <w:rPr>
          <w:rFonts w:ascii="Times New Roman" w:eastAsia="Calibri" w:hAnsi="Times New Roman" w:cs="Times New Roman"/>
          <w:i/>
          <w:noProof/>
          <w:sz w:val="24"/>
          <w:szCs w:val="24"/>
        </w:rPr>
        <w:t>et al</w:t>
      </w:r>
      <w:r w:rsidRPr="00010AF2">
        <w:rPr>
          <w:rFonts w:ascii="Times New Roman" w:eastAsia="Calibri" w:hAnsi="Times New Roman" w:cs="Times New Roman"/>
          <w:noProof/>
          <w:sz w:val="24"/>
          <w:szCs w:val="24"/>
        </w:rPr>
        <w:t xml:space="preserve">., 2006 A versatile and efficient gene-targeting system for </w:t>
      </w:r>
      <w:r w:rsidRPr="00010AF2">
        <w:rPr>
          <w:rFonts w:ascii="Times New Roman" w:eastAsia="Calibri" w:hAnsi="Times New Roman" w:cs="Times New Roman"/>
          <w:i/>
          <w:noProof/>
          <w:sz w:val="24"/>
          <w:szCs w:val="24"/>
        </w:rPr>
        <w:t>Aspergillus nidulans</w:t>
      </w:r>
      <w:r w:rsidRPr="00010AF2">
        <w:rPr>
          <w:rFonts w:ascii="Times New Roman" w:eastAsia="Calibri" w:hAnsi="Times New Roman" w:cs="Times New Roman"/>
          <w:noProof/>
          <w:sz w:val="24"/>
          <w:szCs w:val="24"/>
        </w:rPr>
        <w:t>. Genetics. 172: 1557-1566.</w:t>
      </w:r>
    </w:p>
    <w:p w:rsidR="00010AF2" w:rsidRPr="00010AF2" w:rsidRDefault="00010AF2" w:rsidP="00010AF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010AF2">
        <w:rPr>
          <w:rFonts w:ascii="Times New Roman" w:eastAsia="Calibri" w:hAnsi="Times New Roman" w:cs="Times New Roman"/>
          <w:noProof/>
          <w:sz w:val="24"/>
          <w:szCs w:val="24"/>
        </w:rPr>
        <w:t>Nayak, T., H. Edgerton-Morgan, T. Horio, Y. Xiong, C.P. De Souza CP et al.,  2010 Gamma-tubulin regulates the anaphase-promoting complex/cyclosome during interphase. J. Cell. Biol. 190: 317-330.</w:t>
      </w:r>
    </w:p>
    <w:p w:rsidR="00010AF2" w:rsidRPr="00010AF2" w:rsidRDefault="00010AF2" w:rsidP="00010AF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AF2">
        <w:rPr>
          <w:rFonts w:ascii="Times New Roman" w:eastAsia="Calibri" w:hAnsi="Times New Roman" w:cs="Times New Roman"/>
          <w:sz w:val="24"/>
          <w:szCs w:val="24"/>
        </w:rPr>
        <w:t xml:space="preserve">Pantazopoulou, A., and M.A. Peñalva, 2009 Organization and dynamics of the Aspergillus nidulans Golgi during apical extension and mitosis. Mol. Biol. Cell. 20: 4335-4347. </w:t>
      </w:r>
    </w:p>
    <w:p w:rsidR="00010AF2" w:rsidRPr="00010AF2" w:rsidRDefault="00010AF2" w:rsidP="00010AF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AF2">
        <w:rPr>
          <w:rFonts w:ascii="Times New Roman" w:eastAsia="Calibri" w:hAnsi="Times New Roman" w:cs="Times New Roman"/>
          <w:sz w:val="24"/>
          <w:szCs w:val="24"/>
        </w:rPr>
        <w:t xml:space="preserve">Pantazopoulou, A., and M.A. Peñalva, 2011 Characterization of Aspergillus nidulans RabC/Rab6. Traffic. 12: 386-406. </w:t>
      </w:r>
    </w:p>
    <w:p w:rsidR="00010AF2" w:rsidRPr="00010AF2" w:rsidRDefault="00010AF2" w:rsidP="00010AF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AF2">
        <w:rPr>
          <w:rFonts w:ascii="Times New Roman" w:eastAsia="Calibri" w:hAnsi="Times New Roman" w:cs="Times New Roman"/>
          <w:sz w:val="24"/>
          <w:szCs w:val="24"/>
        </w:rPr>
        <w:t xml:space="preserve">Pinar, M., A. Pantazopoulou, H.N.Jr. Arst, and M.A. Peñalva, 2013 Acute inactivation of the Aspergillus nidulans Golgi membrane fusion machinery: correlation of apical extension arrest and tip swelling with cisternal disorganization. Mol. Microbiol.  89: 228-248. </w:t>
      </w:r>
    </w:p>
    <w:p w:rsidR="00010AF2" w:rsidRPr="00010AF2" w:rsidRDefault="00010AF2" w:rsidP="00010AF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AF2">
        <w:rPr>
          <w:rFonts w:ascii="Times New Roman" w:eastAsia="Calibri" w:hAnsi="Times New Roman" w:cs="Times New Roman"/>
          <w:sz w:val="24"/>
          <w:szCs w:val="24"/>
        </w:rPr>
        <w:t xml:space="preserve">Schultzhaus, Z., H. Yan, and B.D. Shaw, 2015 Aspergillus nidulans flippase DnfA is cargo of the endocytic collar and plays complementary roles in growth </w:t>
      </w:r>
      <w:r w:rsidRPr="00010AF2">
        <w:rPr>
          <w:rFonts w:ascii="Times New Roman" w:eastAsia="Calibri" w:hAnsi="Times New Roman" w:cs="Times New Roman"/>
          <w:sz w:val="24"/>
          <w:szCs w:val="24"/>
        </w:rPr>
        <w:lastRenderedPageBreak/>
        <w:t>and phosphatidylserine asymmetry with another flippase, DnfB. Mol. Microbiol. 97: 18-32.</w:t>
      </w:r>
    </w:p>
    <w:p w:rsidR="00010AF2" w:rsidRPr="00010AF2" w:rsidRDefault="00010AF2" w:rsidP="00010AF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AF2">
        <w:rPr>
          <w:rFonts w:ascii="Times New Roman" w:eastAsia="Calibri" w:hAnsi="Times New Roman" w:cs="Times New Roman"/>
          <w:sz w:val="24"/>
          <w:szCs w:val="24"/>
        </w:rPr>
        <w:t xml:space="preserve">Seidel, C., N. Zekert, and R. Fischer, 2012 The Aspergillus nidulans kinesin-3 tail is necessary and sufficient to recognize modified microtubules. PLoS One. 7: e30976. </w:t>
      </w:r>
    </w:p>
    <w:p w:rsidR="00010AF2" w:rsidRPr="00010AF2" w:rsidRDefault="00010AF2" w:rsidP="00010AF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010AF2">
        <w:rPr>
          <w:rFonts w:ascii="Times New Roman" w:eastAsia="Times New Roman" w:hAnsi="Times New Roman" w:cs="Times New Roman"/>
          <w:sz w:val="24"/>
          <w:szCs w:val="24"/>
        </w:rPr>
        <w:t xml:space="preserve">Szewczyk, E., T. Nayak, C.E. Oakley, H. Edgerton, Y. Xiong </w:t>
      </w:r>
      <w:r w:rsidRPr="00010AF2">
        <w:rPr>
          <w:rFonts w:ascii="Times New Roman" w:eastAsia="Times New Roman" w:hAnsi="Times New Roman" w:cs="Times New Roman"/>
          <w:i/>
          <w:sz w:val="24"/>
          <w:szCs w:val="24"/>
        </w:rPr>
        <w:t>et al</w:t>
      </w:r>
      <w:r w:rsidRPr="00010AF2">
        <w:rPr>
          <w:rFonts w:ascii="Times New Roman" w:eastAsia="Times New Roman" w:hAnsi="Times New Roman" w:cs="Times New Roman"/>
          <w:sz w:val="24"/>
          <w:szCs w:val="24"/>
        </w:rPr>
        <w:t xml:space="preserve">., 2006 </w:t>
      </w:r>
      <w:r w:rsidRPr="00010AF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Fusion PCR and gene targeting in Aspergillus nidulans. </w:t>
      </w:r>
      <w:r w:rsidRPr="00010AF2"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  <w:t xml:space="preserve">Nat. Protoc. </w:t>
      </w:r>
      <w:r w:rsidRPr="00010AF2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1:</w:t>
      </w:r>
      <w:r w:rsidRPr="00010AF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3111-3120.</w:t>
      </w:r>
    </w:p>
    <w:p w:rsidR="00010AF2" w:rsidRPr="00010AF2" w:rsidRDefault="00010AF2" w:rsidP="00010AF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AF2">
        <w:rPr>
          <w:rFonts w:ascii="Times New Roman" w:eastAsia="Calibri" w:hAnsi="Times New Roman" w:cs="Times New Roman"/>
          <w:sz w:val="24"/>
          <w:szCs w:val="24"/>
        </w:rPr>
        <w:t xml:space="preserve">Taheri-Talesh, N., T. Horio, L. Araujo-Bazán, X. Dou, E.A. Espeso EA </w:t>
      </w:r>
      <w:r w:rsidRPr="00010AF2">
        <w:rPr>
          <w:rFonts w:ascii="Times New Roman" w:eastAsia="Calibri" w:hAnsi="Times New Roman" w:cs="Times New Roman"/>
          <w:i/>
          <w:sz w:val="24"/>
          <w:szCs w:val="24"/>
        </w:rPr>
        <w:t>et al</w:t>
      </w:r>
      <w:r w:rsidRPr="00010AF2">
        <w:rPr>
          <w:rFonts w:ascii="Times New Roman" w:eastAsia="Calibri" w:hAnsi="Times New Roman" w:cs="Times New Roman"/>
          <w:sz w:val="24"/>
          <w:szCs w:val="24"/>
        </w:rPr>
        <w:t>., 2008 The tip growth apparatus of Aspergillus nidulans. Mol. Biol. Cell. 19: 1439-1449</w:t>
      </w:r>
    </w:p>
    <w:p w:rsidR="00010AF2" w:rsidRPr="00010AF2" w:rsidRDefault="00010AF2" w:rsidP="00010AF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010AF2">
        <w:rPr>
          <w:rFonts w:ascii="Times New Roman" w:eastAsia="Calibri" w:hAnsi="Times New Roman" w:cs="Times New Roman"/>
          <w:noProof/>
          <w:sz w:val="24"/>
          <w:szCs w:val="24"/>
        </w:rPr>
        <w:t xml:space="preserve">Takeshita, N., D. Mania, S. Herrero de Vega, Y. Ishitsuka, G.U. Nienhaus </w:t>
      </w:r>
      <w:r w:rsidRPr="00010AF2">
        <w:rPr>
          <w:rFonts w:ascii="Times New Roman" w:eastAsia="Calibri" w:hAnsi="Times New Roman" w:cs="Times New Roman"/>
          <w:i/>
          <w:noProof/>
          <w:sz w:val="24"/>
          <w:szCs w:val="24"/>
        </w:rPr>
        <w:t>et al</w:t>
      </w:r>
      <w:r w:rsidRPr="00010AF2">
        <w:rPr>
          <w:rFonts w:ascii="Times New Roman" w:eastAsia="Calibri" w:hAnsi="Times New Roman" w:cs="Times New Roman"/>
          <w:noProof/>
          <w:sz w:val="24"/>
          <w:szCs w:val="24"/>
        </w:rPr>
        <w:t xml:space="preserve">., 2013 The cell end marker TeaA and the microtubule polymerase AlpA contribute to microtubule guidance at the hyphal tip cortex of </w:t>
      </w:r>
      <w:r w:rsidRPr="00010AF2">
        <w:rPr>
          <w:rFonts w:ascii="Times New Roman" w:eastAsia="Calibri" w:hAnsi="Times New Roman" w:cs="Times New Roman"/>
          <w:i/>
          <w:noProof/>
          <w:sz w:val="24"/>
          <w:szCs w:val="24"/>
        </w:rPr>
        <w:t>Aspergillus nidulans</w:t>
      </w:r>
      <w:r w:rsidRPr="00010AF2">
        <w:rPr>
          <w:rFonts w:ascii="Times New Roman" w:eastAsia="Calibri" w:hAnsi="Times New Roman" w:cs="Times New Roman"/>
          <w:noProof/>
          <w:sz w:val="24"/>
          <w:szCs w:val="24"/>
        </w:rPr>
        <w:t xml:space="preserve"> for polarity maintenance. J. Cell. Sci. 126: 5400-5411.</w:t>
      </w:r>
    </w:p>
    <w:p w:rsidR="00010AF2" w:rsidRPr="00010AF2" w:rsidRDefault="00010AF2" w:rsidP="00010AF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AF2">
        <w:rPr>
          <w:rFonts w:ascii="Times New Roman" w:eastAsia="Calibri" w:hAnsi="Times New Roman" w:cs="Times New Roman"/>
          <w:sz w:val="24"/>
          <w:szCs w:val="24"/>
        </w:rPr>
        <w:t xml:space="preserve">Takeshita, N., V. Wernet, M. Tsuizaki, N. Grün, H.O. Hoshi </w:t>
      </w:r>
      <w:r w:rsidRPr="00010AF2">
        <w:rPr>
          <w:rFonts w:ascii="Times New Roman" w:eastAsia="Calibri" w:hAnsi="Times New Roman" w:cs="Times New Roman"/>
          <w:i/>
          <w:sz w:val="24"/>
          <w:szCs w:val="24"/>
        </w:rPr>
        <w:t>et al</w:t>
      </w:r>
      <w:r w:rsidRPr="00010AF2">
        <w:rPr>
          <w:rFonts w:ascii="Times New Roman" w:eastAsia="Calibri" w:hAnsi="Times New Roman" w:cs="Times New Roman"/>
          <w:sz w:val="24"/>
          <w:szCs w:val="24"/>
        </w:rPr>
        <w:t xml:space="preserve">., 2015 Transportation of Aspergillus nidulans Class III and V Chitin Synthases to the Hyphal Tips Depends on Conventional Kinesin. PLoS One. 10: e0125937. </w:t>
      </w:r>
    </w:p>
    <w:p w:rsidR="00010AF2" w:rsidRPr="00010AF2" w:rsidRDefault="00010AF2" w:rsidP="00010AF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AF2">
        <w:rPr>
          <w:rFonts w:ascii="Times New Roman" w:eastAsia="Calibri" w:hAnsi="Times New Roman" w:cs="Times New Roman"/>
          <w:sz w:val="24"/>
          <w:szCs w:val="24"/>
        </w:rPr>
        <w:t>Westfall, P.J., and M. Momany, 2002 Aspergillus nidulans septin AspB plays pre- and postmitotic roles in septum, branch, and conidiophore development. Mol. Biol. Cell. 13:110-118.</w:t>
      </w:r>
    </w:p>
    <w:p w:rsidR="00010AF2" w:rsidRPr="00F05636" w:rsidRDefault="00010AF2" w:rsidP="00F0563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AF2">
        <w:rPr>
          <w:rFonts w:ascii="Times New Roman" w:eastAsia="Calibri" w:hAnsi="Times New Roman" w:cs="Times New Roman"/>
          <w:sz w:val="24"/>
          <w:szCs w:val="24"/>
        </w:rPr>
        <w:t xml:space="preserve">Zekert, N., and R. Fischer, 2009 The Aspergillus nidulans kinesin-3 UncA motor moves vesicles along a subpopulation of microtubules. Mol. Biol. Cell. 20: 673-684. </w:t>
      </w:r>
      <w:bookmarkStart w:id="0" w:name="_GoBack"/>
      <w:bookmarkEnd w:id="0"/>
    </w:p>
    <w:sectPr w:rsidR="00010AF2" w:rsidRPr="00F05636" w:rsidSect="00937355">
      <w:headerReference w:type="even" r:id="rId7"/>
      <w:headerReference w:type="default" r:id="rId8"/>
      <w:pgSz w:w="11906" w:h="16838"/>
      <w:pgMar w:top="1440" w:right="1800" w:bottom="1440" w:left="180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CEC" w:rsidRDefault="00090CEC">
      <w:pPr>
        <w:spacing w:after="0" w:line="240" w:lineRule="auto"/>
      </w:pPr>
      <w:r>
        <w:separator/>
      </w:r>
    </w:p>
  </w:endnote>
  <w:endnote w:type="continuationSeparator" w:id="0">
    <w:p w:rsidR="00090CEC" w:rsidRDefault="00090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ymbol Std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CEC" w:rsidRDefault="00090CEC">
      <w:pPr>
        <w:spacing w:after="0" w:line="240" w:lineRule="auto"/>
      </w:pPr>
      <w:r>
        <w:separator/>
      </w:r>
    </w:p>
  </w:footnote>
  <w:footnote w:type="continuationSeparator" w:id="0">
    <w:p w:rsidR="00090CEC" w:rsidRDefault="00090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355" w:rsidRDefault="00937355" w:rsidP="00937355">
    <w:pPr>
      <w:pStyle w:val="Header1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37355" w:rsidRDefault="00937355" w:rsidP="00937355">
    <w:pPr>
      <w:pStyle w:val="Header1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355" w:rsidRDefault="00937355" w:rsidP="00937355">
    <w:pPr>
      <w:pStyle w:val="Header1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05636">
      <w:rPr>
        <w:rStyle w:val="PageNumber"/>
        <w:noProof/>
      </w:rPr>
      <w:t>2</w:t>
    </w:r>
    <w:r>
      <w:rPr>
        <w:rStyle w:val="PageNumber"/>
      </w:rPr>
      <w:fldChar w:fldCharType="end"/>
    </w:r>
  </w:p>
  <w:p w:rsidR="00937355" w:rsidRDefault="00937355" w:rsidP="00937355">
    <w:pPr>
      <w:pStyle w:val="Header1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C3698"/>
    <w:multiLevelType w:val="hybridMultilevel"/>
    <w:tmpl w:val="F7ECB0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D86645"/>
    <w:multiLevelType w:val="hybridMultilevel"/>
    <w:tmpl w:val="91F267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F51E18"/>
    <w:multiLevelType w:val="hybridMultilevel"/>
    <w:tmpl w:val="B3D6BC38"/>
    <w:lvl w:ilvl="0" w:tplc="FFFFFFFF">
      <w:start w:val="1"/>
      <w:numFmt w:val="decimal"/>
      <w:lvlText w:val="%1."/>
      <w:lvlJc w:val="left"/>
      <w:pPr>
        <w:ind w:left="1276" w:hanging="360"/>
      </w:pPr>
    </w:lvl>
    <w:lvl w:ilvl="1" w:tplc="04080019" w:tentative="1">
      <w:start w:val="1"/>
      <w:numFmt w:val="lowerLetter"/>
      <w:lvlText w:val="%2."/>
      <w:lvlJc w:val="left"/>
      <w:pPr>
        <w:ind w:left="1646" w:hanging="360"/>
      </w:pPr>
    </w:lvl>
    <w:lvl w:ilvl="2" w:tplc="0408001B" w:tentative="1">
      <w:start w:val="1"/>
      <w:numFmt w:val="lowerRoman"/>
      <w:lvlText w:val="%3."/>
      <w:lvlJc w:val="right"/>
      <w:pPr>
        <w:ind w:left="2366" w:hanging="180"/>
      </w:pPr>
    </w:lvl>
    <w:lvl w:ilvl="3" w:tplc="0408000F" w:tentative="1">
      <w:start w:val="1"/>
      <w:numFmt w:val="decimal"/>
      <w:lvlText w:val="%4."/>
      <w:lvlJc w:val="left"/>
      <w:pPr>
        <w:ind w:left="3086" w:hanging="360"/>
      </w:pPr>
    </w:lvl>
    <w:lvl w:ilvl="4" w:tplc="04080019" w:tentative="1">
      <w:start w:val="1"/>
      <w:numFmt w:val="lowerLetter"/>
      <w:lvlText w:val="%5."/>
      <w:lvlJc w:val="left"/>
      <w:pPr>
        <w:ind w:left="3806" w:hanging="360"/>
      </w:pPr>
    </w:lvl>
    <w:lvl w:ilvl="5" w:tplc="0408001B" w:tentative="1">
      <w:start w:val="1"/>
      <w:numFmt w:val="lowerRoman"/>
      <w:lvlText w:val="%6."/>
      <w:lvlJc w:val="right"/>
      <w:pPr>
        <w:ind w:left="4526" w:hanging="180"/>
      </w:pPr>
    </w:lvl>
    <w:lvl w:ilvl="6" w:tplc="0408000F" w:tentative="1">
      <w:start w:val="1"/>
      <w:numFmt w:val="decimal"/>
      <w:lvlText w:val="%7."/>
      <w:lvlJc w:val="left"/>
      <w:pPr>
        <w:ind w:left="5246" w:hanging="360"/>
      </w:pPr>
    </w:lvl>
    <w:lvl w:ilvl="7" w:tplc="04080019" w:tentative="1">
      <w:start w:val="1"/>
      <w:numFmt w:val="lowerLetter"/>
      <w:lvlText w:val="%8."/>
      <w:lvlJc w:val="left"/>
      <w:pPr>
        <w:ind w:left="5966" w:hanging="360"/>
      </w:pPr>
    </w:lvl>
    <w:lvl w:ilvl="8" w:tplc="0408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 w15:restartNumberingAfterBreak="0">
    <w:nsid w:val="52F96CE6"/>
    <w:multiLevelType w:val="hybridMultilevel"/>
    <w:tmpl w:val="0944C4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AF2"/>
    <w:rsid w:val="00010AF2"/>
    <w:rsid w:val="00090CEC"/>
    <w:rsid w:val="004747D5"/>
    <w:rsid w:val="005767D7"/>
    <w:rsid w:val="00937355"/>
    <w:rsid w:val="00C41014"/>
    <w:rsid w:val="00CA2CAA"/>
    <w:rsid w:val="00F0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59F28"/>
  <w15:chartTrackingRefBased/>
  <w15:docId w15:val="{29850E21-0BB0-4328-AEFE-35FAF988B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0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010AF2"/>
  </w:style>
  <w:style w:type="character" w:styleId="Hyperlink">
    <w:name w:val="Hyperlink"/>
    <w:basedOn w:val="DefaultParagraphFont"/>
    <w:uiPriority w:val="99"/>
    <w:unhideWhenUsed/>
    <w:rsid w:val="00010AF2"/>
    <w:rPr>
      <w:color w:val="0000FF"/>
      <w:u w:val="single"/>
    </w:rPr>
  </w:style>
  <w:style w:type="character" w:customStyle="1" w:styleId="A2">
    <w:name w:val="A2"/>
    <w:uiPriority w:val="99"/>
    <w:rsid w:val="00010AF2"/>
    <w:rPr>
      <w:rFonts w:ascii="ITC Symbol Std Book" w:hAnsi="ITC Symbol Std Book" w:cs="ITC Symbol Std Book"/>
      <w:color w:val="000000"/>
      <w:sz w:val="15"/>
      <w:szCs w:val="15"/>
    </w:rPr>
  </w:style>
  <w:style w:type="character" w:customStyle="1" w:styleId="A1">
    <w:name w:val="A1"/>
    <w:uiPriority w:val="99"/>
    <w:rsid w:val="00010AF2"/>
    <w:rPr>
      <w:rFonts w:cs="Minion Pro"/>
      <w:color w:val="000000"/>
      <w:sz w:val="10"/>
      <w:szCs w:val="10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010AF2"/>
    <w:pPr>
      <w:spacing w:after="200" w:line="276" w:lineRule="auto"/>
      <w:ind w:left="720"/>
      <w:contextualSpacing/>
    </w:pPr>
    <w:rPr>
      <w:lang w:val="el-GR"/>
    </w:rPr>
  </w:style>
  <w:style w:type="character" w:styleId="Emphasis">
    <w:name w:val="Emphasis"/>
    <w:basedOn w:val="DefaultParagraphFont"/>
    <w:uiPriority w:val="20"/>
    <w:qFormat/>
    <w:rsid w:val="00010AF2"/>
    <w:rPr>
      <w:i/>
      <w:iCs/>
    </w:rPr>
  </w:style>
  <w:style w:type="paragraph" w:customStyle="1" w:styleId="Header1">
    <w:name w:val="Header1"/>
    <w:basedOn w:val="Normal"/>
    <w:next w:val="Header"/>
    <w:link w:val="HeaderChar"/>
    <w:uiPriority w:val="99"/>
    <w:unhideWhenUsed/>
    <w:rsid w:val="00010AF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uiPriority w:val="99"/>
    <w:rsid w:val="00010AF2"/>
  </w:style>
  <w:style w:type="character" w:styleId="PageNumber">
    <w:name w:val="page number"/>
    <w:basedOn w:val="DefaultParagraphFont"/>
    <w:uiPriority w:val="99"/>
    <w:semiHidden/>
    <w:unhideWhenUsed/>
    <w:rsid w:val="00010AF2"/>
  </w:style>
  <w:style w:type="character" w:styleId="LineNumber">
    <w:name w:val="line number"/>
    <w:basedOn w:val="DefaultParagraphFont"/>
    <w:uiPriority w:val="99"/>
    <w:semiHidden/>
    <w:unhideWhenUsed/>
    <w:rsid w:val="00010AF2"/>
  </w:style>
  <w:style w:type="paragraph" w:customStyle="1" w:styleId="NoSpacing1">
    <w:name w:val="No Spacing1"/>
    <w:next w:val="NoSpacing"/>
    <w:uiPriority w:val="1"/>
    <w:qFormat/>
    <w:rsid w:val="00010AF2"/>
    <w:pPr>
      <w:spacing w:after="0" w:line="240" w:lineRule="auto"/>
    </w:pPr>
    <w:rPr>
      <w:lang w:val="el-GR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10A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10AF2"/>
    <w:rPr>
      <w:rFonts w:ascii="Courier New" w:eastAsia="Times New Roman" w:hAnsi="Courier New" w:cs="Courier New"/>
      <w:sz w:val="20"/>
      <w:szCs w:val="20"/>
      <w:lang w:val="el-GR" w:eastAsia="el-GR"/>
    </w:rPr>
  </w:style>
  <w:style w:type="table" w:customStyle="1" w:styleId="TableGrid1">
    <w:name w:val="Table Grid1"/>
    <w:basedOn w:val="TableNormal"/>
    <w:next w:val="TableGrid"/>
    <w:uiPriority w:val="39"/>
    <w:rsid w:val="00010AF2"/>
    <w:pPr>
      <w:spacing w:after="0" w:line="240" w:lineRule="auto"/>
    </w:pPr>
    <w:rPr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010AF2"/>
    <w:pPr>
      <w:spacing w:after="0" w:line="240" w:lineRule="auto"/>
    </w:pPr>
    <w:rPr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010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010AF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10AF2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semiHidden/>
    <w:unhideWhenUsed/>
    <w:rsid w:val="00010A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semiHidden/>
    <w:rsid w:val="00010AF2"/>
  </w:style>
  <w:style w:type="paragraph" w:styleId="NoSpacing">
    <w:name w:val="No Spacing"/>
    <w:uiPriority w:val="1"/>
    <w:qFormat/>
    <w:rsid w:val="00010AF2"/>
    <w:pPr>
      <w:spacing w:after="0" w:line="240" w:lineRule="auto"/>
    </w:pPr>
  </w:style>
  <w:style w:type="table" w:styleId="TableGrid">
    <w:name w:val="Table Grid"/>
    <w:basedOn w:val="TableNormal"/>
    <w:uiPriority w:val="39"/>
    <w:rsid w:val="00010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1"/>
    <w:uiPriority w:val="99"/>
    <w:semiHidden/>
    <w:unhideWhenUsed/>
    <w:rsid w:val="00010A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010A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Martzoukou</dc:creator>
  <cp:keywords/>
  <dc:description/>
  <cp:lastModifiedBy>Olga Martzoukou</cp:lastModifiedBy>
  <cp:revision>3</cp:revision>
  <dcterms:created xsi:type="dcterms:W3CDTF">2018-06-20T10:25:00Z</dcterms:created>
  <dcterms:modified xsi:type="dcterms:W3CDTF">2018-06-20T10:26:00Z</dcterms:modified>
</cp:coreProperties>
</file>