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D89D8" w14:textId="77777777" w:rsidR="00D94F44" w:rsidRPr="002231BD" w:rsidRDefault="0058790F">
      <w:pPr>
        <w:spacing w:line="360" w:lineRule="auto"/>
        <w:rPr>
          <w:rFonts w:ascii="Times New Roman" w:hAnsi="Times New Roman" w:cs="Times New Roman"/>
        </w:rPr>
      </w:pPr>
      <w:r w:rsidRPr="002231BD">
        <w:rPr>
          <w:rFonts w:ascii="Times New Roman" w:hAnsi="Times New Roman" w:cs="Times New Roman"/>
          <w:b/>
          <w:bCs/>
        </w:rPr>
        <w:t xml:space="preserve">Quantification of NPC transcriptomes with </w:t>
      </w:r>
      <w:proofErr w:type="spellStart"/>
      <w:r w:rsidRPr="002231BD">
        <w:rPr>
          <w:rFonts w:ascii="Times New Roman" w:hAnsi="Times New Roman" w:cs="Times New Roman"/>
          <w:b/>
          <w:bCs/>
        </w:rPr>
        <w:t>eXpress</w:t>
      </w:r>
      <w:proofErr w:type="spellEnd"/>
    </w:p>
    <w:p w14:paraId="4BADE5DB" w14:textId="2A997E5F" w:rsidR="00D94F44" w:rsidRPr="002231BD" w:rsidRDefault="0058790F">
      <w:pPr>
        <w:spacing w:line="360" w:lineRule="auto"/>
        <w:jc w:val="both"/>
        <w:rPr>
          <w:rFonts w:ascii="Times New Roman" w:hAnsi="Times New Roman" w:cs="Times New Roman"/>
        </w:rPr>
      </w:pPr>
      <w:r w:rsidRPr="002231BD">
        <w:rPr>
          <w:rFonts w:ascii="Times New Roman" w:hAnsi="Times New Roman" w:cs="Times New Roman"/>
        </w:rPr>
        <w:t xml:space="preserve">In addition to RSEM, we used </w:t>
      </w:r>
      <w:proofErr w:type="spellStart"/>
      <w:r w:rsidRPr="002231BD">
        <w:rPr>
          <w:rFonts w:ascii="Times New Roman" w:hAnsi="Times New Roman" w:cs="Times New Roman"/>
        </w:rPr>
        <w:t>eXpress</w:t>
      </w:r>
      <w:proofErr w:type="spellEnd"/>
      <w:r w:rsidRPr="002231BD">
        <w:rPr>
          <w:rFonts w:ascii="Times New Roman" w:hAnsi="Times New Roman" w:cs="Times New Roman"/>
        </w:rPr>
        <w:t xml:space="preserve"> (version 1.5.1) </w:t>
      </w:r>
      <w:r w:rsidR="008969DE">
        <w:rPr>
          <w:rFonts w:ascii="Times New Roman" w:hAnsi="Times New Roman" w:cs="Times New Roman"/>
        </w:rPr>
        <w:fldChar w:fldCharType="begin"/>
      </w:r>
      <w:r w:rsidR="008969DE">
        <w:rPr>
          <w:rFonts w:ascii="Times New Roman" w:hAnsi="Times New Roman" w:cs="Times New Roman"/>
        </w:rPr>
        <w:instrText xml:space="preserve"> ADDIN EN.CITE &lt;EndNote&gt;&lt;Cite&gt;&lt;Author&gt;Roberts&lt;/Author&gt;&lt;Year&gt;2013&lt;/Year&gt;&lt;IDText&gt;Streaming fragment assignment for real-time analysis of sequencing experiments&lt;/IDText&gt;&lt;DisplayText&gt;[1]&lt;/DisplayText&gt;&lt;record&gt;&lt;dates&gt;&lt;pub-dates&gt;&lt;date&gt;Jan&lt;/date&gt;&lt;/pub-dates&gt;&lt;year&gt;2013&lt;/year&gt;&lt;/dates&gt;&lt;urls&gt;&lt;related-urls&gt;&lt;url&gt;&amp;lt;Go to ISI&amp;gt;://WOS:000312810100040&lt;/url&gt;&lt;/related-urls&gt;&lt;/urls&gt;&lt;isbn&gt;1548-7091&lt;/isbn&gt;&lt;titles&gt;&lt;title&gt;Streaming fragment assignment for real-time analysis of sequencing experiments&lt;/title&gt;&lt;secondary-title&gt;Nature Methods&lt;/secondary-title&gt;&lt;/titles&gt;&lt;pages&gt;71-U99&lt;/pages&gt;&lt;number&gt;1&lt;/number&gt;&lt;contributors&gt;&lt;authors&gt;&lt;author&gt;Roberts, Adam&lt;/author&gt;&lt;author&gt;Pachter, Lior&lt;/author&gt;&lt;/authors&gt;&lt;/contributors&gt;&lt;added-date format="utc"&gt;1433487033&lt;/added-date&gt;&lt;ref-type name="Journal Article"&gt;17&lt;/ref-type&gt;&lt;rec-number&gt;126&lt;/rec-number&gt;&lt;last-updated-date format="utc"&gt;1475272323&lt;/last-updated-date&gt;&lt;accession-num&gt;WOS:000312810100040&lt;/accession-num&gt;&lt;electronic-resource-num&gt;10.1038/nmeth.2251&lt;/electronic-resource-num&gt;&lt;volume&gt;10&lt;/volume&gt;&lt;/record&gt;&lt;/Cite&gt;&lt;/EndNote&gt;</w:instrText>
      </w:r>
      <w:r w:rsidR="008969DE">
        <w:rPr>
          <w:rFonts w:ascii="Times New Roman" w:hAnsi="Times New Roman" w:cs="Times New Roman"/>
        </w:rPr>
        <w:fldChar w:fldCharType="separate"/>
      </w:r>
      <w:r w:rsidR="008969DE">
        <w:rPr>
          <w:rFonts w:ascii="Times New Roman" w:hAnsi="Times New Roman" w:cs="Times New Roman"/>
          <w:noProof/>
        </w:rPr>
        <w:t>[1]</w:t>
      </w:r>
      <w:r w:rsidR="008969DE">
        <w:rPr>
          <w:rFonts w:ascii="Times New Roman" w:hAnsi="Times New Roman" w:cs="Times New Roman"/>
        </w:rPr>
        <w:fldChar w:fldCharType="end"/>
      </w:r>
      <w:r w:rsidR="008969DE">
        <w:rPr>
          <w:rFonts w:ascii="Times New Roman" w:hAnsi="Times New Roman" w:cs="Times New Roman"/>
        </w:rPr>
        <w:t xml:space="preserve"> </w:t>
      </w:r>
      <w:r w:rsidRPr="002231BD">
        <w:rPr>
          <w:rFonts w:ascii="Times New Roman" w:hAnsi="Times New Roman" w:cs="Times New Roman"/>
        </w:rPr>
        <w:t xml:space="preserve">to estimate transcript abundances for the complete </w:t>
      </w:r>
      <w:proofErr w:type="spellStart"/>
      <w:r w:rsidRPr="002231BD">
        <w:rPr>
          <w:rFonts w:ascii="Times New Roman" w:hAnsi="Times New Roman" w:cs="Times New Roman"/>
        </w:rPr>
        <w:t>RefSeq</w:t>
      </w:r>
      <w:proofErr w:type="spellEnd"/>
      <w:r w:rsidRPr="002231BD">
        <w:rPr>
          <w:rFonts w:ascii="Times New Roman" w:hAnsi="Times New Roman" w:cs="Times New Roman"/>
        </w:rPr>
        <w:t xml:space="preserve"> transcriptome and two the Event Analysis reduced references (100% events detected at APN</w:t>
      </w:r>
      <w:r w:rsidR="008969DE">
        <w:rPr>
          <w:rFonts w:ascii="Times New Roman" w:hAnsi="Times New Roman" w:cs="Times New Roman"/>
        </w:rPr>
        <w:t> </w:t>
      </w:r>
      <w:r w:rsidRPr="002231BD">
        <w:rPr>
          <w:rFonts w:ascii="Times New Roman" w:hAnsi="Times New Roman" w:cs="Times New Roman"/>
        </w:rPr>
        <w:t>&gt;</w:t>
      </w:r>
      <w:r w:rsidR="008969DE">
        <w:rPr>
          <w:rFonts w:ascii="Times New Roman" w:hAnsi="Times New Roman" w:cs="Times New Roman"/>
        </w:rPr>
        <w:t> </w:t>
      </w:r>
      <w:r w:rsidRPr="002231BD">
        <w:rPr>
          <w:rFonts w:ascii="Times New Roman" w:hAnsi="Times New Roman" w:cs="Times New Roman"/>
        </w:rPr>
        <w:t xml:space="preserve">0, </w:t>
      </w:r>
      <w:r w:rsidRPr="002231BD">
        <w:rPr>
          <w:rFonts w:ascii="Times New Roman" w:eastAsia="Liberation Serif" w:hAnsi="Times New Roman" w:cs="Times New Roman"/>
        </w:rPr>
        <w:t>≥75% events detected at APN</w:t>
      </w:r>
      <w:r w:rsidR="008969DE">
        <w:rPr>
          <w:rFonts w:ascii="Times New Roman" w:eastAsia="Liberation Serif" w:hAnsi="Times New Roman" w:cs="Times New Roman"/>
        </w:rPr>
        <w:t> </w:t>
      </w:r>
      <w:r w:rsidRPr="002231BD">
        <w:rPr>
          <w:rFonts w:ascii="Times New Roman" w:eastAsia="Liberation Serif" w:hAnsi="Times New Roman" w:cs="Times New Roman"/>
        </w:rPr>
        <w:t>≥</w:t>
      </w:r>
      <w:r w:rsidR="008969DE">
        <w:rPr>
          <w:rFonts w:ascii="Times New Roman" w:eastAsia="Liberation Serif" w:hAnsi="Times New Roman" w:cs="Times New Roman"/>
        </w:rPr>
        <w:t xml:space="preserve"> </w:t>
      </w:r>
      <w:r w:rsidRPr="002231BD">
        <w:rPr>
          <w:rFonts w:ascii="Times New Roman" w:eastAsia="Liberation Serif" w:hAnsi="Times New Roman" w:cs="Times New Roman"/>
        </w:rPr>
        <w:t>5) for the mouse neural progenitor cell data. Reads were first aligned to transcript sequences using BWA-MEM version 0.7.1</w:t>
      </w:r>
      <w:r w:rsidR="008969DE">
        <w:rPr>
          <w:rFonts w:ascii="Times New Roman" w:eastAsia="Liberation Serif" w:hAnsi="Times New Roman" w:cs="Times New Roman"/>
        </w:rPr>
        <w:t xml:space="preserve">2 </w:t>
      </w:r>
      <w:r w:rsidR="008969DE">
        <w:rPr>
          <w:rFonts w:ascii="Times New Roman" w:eastAsia="Liberation Serif" w:hAnsi="Times New Roman" w:cs="Times New Roman"/>
        </w:rPr>
        <w:fldChar w:fldCharType="begin"/>
      </w:r>
      <w:r w:rsidR="008969DE">
        <w:rPr>
          <w:rFonts w:ascii="Times New Roman" w:eastAsia="Liberation Serif" w:hAnsi="Times New Roman" w:cs="Times New Roman"/>
        </w:rPr>
        <w:instrText xml:space="preserve"> ADDIN EN.CITE &lt;EndNote&gt;&lt;Cite&gt;&lt;Author&gt;Li&lt;/Author&gt;&lt;Year&gt;2013&lt;/Year&gt;&lt;IDText&gt;Aligning sequence reads, clone sequences and assembly contigs with BWA-MEM&lt;/IDText&gt;&lt;DisplayText&gt;[2]&lt;/DisplayText&gt;&lt;record&gt;&lt;titles&gt;&lt;title&gt;Aligning sequence reads, clone sequences and assembly contigs with BWA-MEM&lt;/title&gt;&lt;secondary-title&gt;arXic preprint arXiv:1303.3997&lt;/secondary-title&gt;&lt;/titles&gt;&lt;contributors&gt;&lt;authors&gt;&lt;author&gt;Li, H.&lt;/author&gt;&lt;/authors&gt;&lt;/contributors&gt;&lt;added-date format="utc"&gt;1462916966&lt;/added-date&gt;&lt;ref-type name="Journal Article"&gt;17&lt;/ref-type&gt;&lt;dates&gt;&lt;year&gt;2013&lt;/year&gt;&lt;/dates&gt;&lt;rec-number&gt;355&lt;/rec-number&gt;&lt;last-updated-date format="utc"&gt;1462916966&lt;/last-updated-date&gt;&lt;/record&gt;&lt;/Cite&gt;&lt;/EndNote&gt;</w:instrText>
      </w:r>
      <w:r w:rsidR="008969DE">
        <w:rPr>
          <w:rFonts w:ascii="Times New Roman" w:eastAsia="Liberation Serif" w:hAnsi="Times New Roman" w:cs="Times New Roman"/>
        </w:rPr>
        <w:fldChar w:fldCharType="separate"/>
      </w:r>
      <w:r w:rsidR="008969DE">
        <w:rPr>
          <w:rFonts w:ascii="Times New Roman" w:eastAsia="Liberation Serif" w:hAnsi="Times New Roman" w:cs="Times New Roman"/>
          <w:noProof/>
        </w:rPr>
        <w:t>[2]</w:t>
      </w:r>
      <w:r w:rsidR="008969DE">
        <w:rPr>
          <w:rFonts w:ascii="Times New Roman" w:eastAsia="Liberation Serif" w:hAnsi="Times New Roman" w:cs="Times New Roman"/>
        </w:rPr>
        <w:fldChar w:fldCharType="end"/>
      </w:r>
      <w:r w:rsidRPr="002231BD">
        <w:rPr>
          <w:rFonts w:ascii="Times New Roman" w:eastAsia="Liberation Serif" w:hAnsi="Times New Roman" w:cs="Times New Roman"/>
        </w:rPr>
        <w:t xml:space="preserve"> using default parameters. Output SAM files were then analyzed using </w:t>
      </w:r>
      <w:proofErr w:type="spellStart"/>
      <w:r w:rsidRPr="002231BD">
        <w:rPr>
          <w:rFonts w:ascii="Times New Roman" w:eastAsia="Liberation Serif" w:hAnsi="Times New Roman" w:cs="Times New Roman"/>
        </w:rPr>
        <w:t>eXpress</w:t>
      </w:r>
      <w:proofErr w:type="spellEnd"/>
      <w:r w:rsidRPr="002231BD">
        <w:rPr>
          <w:rFonts w:ascii="Times New Roman" w:eastAsia="Liberation Serif" w:hAnsi="Times New Roman" w:cs="Times New Roman"/>
        </w:rPr>
        <w:t xml:space="preserve"> to estimate abundances of transcripts in each reference transcriptome. Mean fragment length </w:t>
      </w:r>
      <w:bookmarkStart w:id="0" w:name="_GoBack"/>
      <w:bookmarkEnd w:id="0"/>
      <w:r w:rsidRPr="002231BD">
        <w:rPr>
          <w:rFonts w:ascii="Times New Roman" w:eastAsia="Liberation Serif" w:hAnsi="Times New Roman" w:cs="Times New Roman"/>
        </w:rPr>
        <w:t xml:space="preserve">of 80bp and with a standard deviation of 50bp was set for </w:t>
      </w:r>
      <w:proofErr w:type="spellStart"/>
      <w:r w:rsidRPr="002231BD">
        <w:rPr>
          <w:rFonts w:ascii="Times New Roman" w:eastAsia="Liberation Serif" w:hAnsi="Times New Roman" w:cs="Times New Roman"/>
        </w:rPr>
        <w:t>eXpress</w:t>
      </w:r>
      <w:proofErr w:type="spellEnd"/>
      <w:r w:rsidRPr="002231BD">
        <w:rPr>
          <w:rFonts w:ascii="Times New Roman" w:eastAsia="Liberation Serif" w:hAnsi="Times New Roman" w:cs="Times New Roman"/>
        </w:rPr>
        <w:t>, with all other parameters left at their default settings.</w:t>
      </w:r>
    </w:p>
    <w:p w14:paraId="6957D9D9" w14:textId="77777777" w:rsidR="00D94F44" w:rsidRPr="002231BD" w:rsidRDefault="0058790F">
      <w:pPr>
        <w:spacing w:line="360" w:lineRule="auto"/>
        <w:jc w:val="both"/>
        <w:rPr>
          <w:rFonts w:ascii="Times New Roman" w:hAnsi="Times New Roman" w:cs="Times New Roman"/>
        </w:rPr>
      </w:pPr>
      <w:r w:rsidRPr="002231BD">
        <w:rPr>
          <w:rFonts w:ascii="Times New Roman" w:eastAsia="Liberation Serif" w:hAnsi="Times New Roman" w:cs="Times New Roman"/>
        </w:rPr>
        <w:t>To estimate concordance of transcript estimates between replicates, we first calculated the simple agreement between replicates as the proportion of transcripts detected in both replicates. Transcripts were then binned based on their TPM estimates (transcripts per kilobase million) estimates: “no expression” (TPM=0 in both replicates), “very low expression” (minimum log-TPM: 0 - 0.5), “low expression” (minimum log-TPM: 0.5 - 2), “moderate expression” (minimum log-TPM: 2 – 4) and “high expression” (minimum log-TPM: 4 or greater). This approximately corresponds to no expression, 25th percentile of expression (“very low expression”), 25th to 75th percentile of expression (“low expression”), 75th to 90th percentile of expression (“moderate expression”), and 90th to 100th percentile of expression (“high expression”). The coefficient of variation (CV) for each TPM bin was then calculated.</w:t>
      </w:r>
    </w:p>
    <w:p w14:paraId="6A4D4B1F" w14:textId="77777777" w:rsidR="00D94F44" w:rsidRPr="002231BD" w:rsidRDefault="00D94F44">
      <w:pPr>
        <w:spacing w:line="360" w:lineRule="auto"/>
        <w:rPr>
          <w:rFonts w:ascii="Times New Roman" w:hAnsi="Times New Roman" w:cs="Times New Roman"/>
          <w:b/>
          <w:bCs/>
        </w:rPr>
      </w:pPr>
    </w:p>
    <w:p w14:paraId="3247D6AE" w14:textId="77777777" w:rsidR="00D94F44" w:rsidRPr="002231BD" w:rsidRDefault="0058790F">
      <w:pPr>
        <w:spacing w:line="360" w:lineRule="auto"/>
        <w:rPr>
          <w:rFonts w:ascii="Times New Roman" w:hAnsi="Times New Roman" w:cs="Times New Roman"/>
        </w:rPr>
      </w:pPr>
      <w:r w:rsidRPr="002231BD">
        <w:rPr>
          <w:rFonts w:ascii="Times New Roman" w:hAnsi="Times New Roman" w:cs="Times New Roman"/>
          <w:b/>
          <w:bCs/>
        </w:rPr>
        <w:t xml:space="preserve">Transcriptome assembly and quantification with </w:t>
      </w:r>
      <w:proofErr w:type="spellStart"/>
      <w:r w:rsidRPr="002231BD">
        <w:rPr>
          <w:rFonts w:ascii="Times New Roman" w:hAnsi="Times New Roman" w:cs="Times New Roman"/>
          <w:b/>
          <w:bCs/>
        </w:rPr>
        <w:t>iReckon</w:t>
      </w:r>
      <w:proofErr w:type="spellEnd"/>
    </w:p>
    <w:p w14:paraId="090392B4" w14:textId="3D424C19" w:rsidR="00D94F44" w:rsidRPr="002231BD" w:rsidRDefault="0058790F">
      <w:pPr>
        <w:spacing w:line="360" w:lineRule="auto"/>
        <w:jc w:val="both"/>
        <w:rPr>
          <w:rFonts w:ascii="Times New Roman" w:hAnsi="Times New Roman" w:cs="Times New Roman"/>
        </w:rPr>
      </w:pPr>
      <w:r w:rsidRPr="002231BD">
        <w:rPr>
          <w:rFonts w:ascii="Times New Roman" w:hAnsi="Times New Roman" w:cs="Times New Roman"/>
        </w:rPr>
        <w:t xml:space="preserve">The STAR aligner was used to align reads from </w:t>
      </w:r>
      <w:r w:rsidRPr="002231BD">
        <w:rPr>
          <w:rFonts w:ascii="Times New Roman" w:eastAsia="Liberation Serif" w:hAnsi="Times New Roman" w:cs="Times New Roman"/>
        </w:rPr>
        <w:t xml:space="preserve">the mouse neural progenitor cell data </w:t>
      </w:r>
      <w:r w:rsidRPr="002231BD">
        <w:rPr>
          <w:rFonts w:ascii="Times New Roman" w:hAnsi="Times New Roman" w:cs="Times New Roman"/>
        </w:rPr>
        <w:t xml:space="preserve">to the complete mouse mm10 genome. STAR references were generated using </w:t>
      </w:r>
      <w:proofErr w:type="spellStart"/>
      <w:r w:rsidRPr="002231BD">
        <w:rPr>
          <w:rFonts w:ascii="Times New Roman" w:hAnsi="Times New Roman" w:cs="Times New Roman"/>
        </w:rPr>
        <w:t>RefSeq</w:t>
      </w:r>
      <w:proofErr w:type="spellEnd"/>
      <w:r w:rsidRPr="002231BD">
        <w:rPr>
          <w:rFonts w:ascii="Times New Roman" w:hAnsi="Times New Roman" w:cs="Times New Roman"/>
        </w:rPr>
        <w:t xml:space="preserve"> mm10 GFF3 annotations, and a maximum junction overhang size of 40 </w:t>
      </w:r>
      <w:proofErr w:type="spellStart"/>
      <w:r w:rsidRPr="002231BD">
        <w:rPr>
          <w:rFonts w:ascii="Times New Roman" w:hAnsi="Times New Roman" w:cs="Times New Roman"/>
        </w:rPr>
        <w:t>bp</w:t>
      </w:r>
      <w:proofErr w:type="spellEnd"/>
      <w:r w:rsidRPr="002231BD">
        <w:rPr>
          <w:rFonts w:ascii="Times New Roman" w:hAnsi="Times New Roman" w:cs="Times New Roman"/>
        </w:rPr>
        <w:t xml:space="preserve"> either side of the junction was set for the creation of STAR's splice junction database, analogous to that of the junction catalog used by Event Analysis. STAR alignment parameters were also set to mimic those used by Event Analysis: reads were aligned to the mm10 genome using the alignment mode “</w:t>
      </w:r>
      <w:proofErr w:type="spellStart"/>
      <w:r w:rsidRPr="002231BD">
        <w:rPr>
          <w:rFonts w:ascii="Times New Roman" w:hAnsi="Times New Roman" w:cs="Times New Roman"/>
        </w:rPr>
        <w:t>EndToEnd</w:t>
      </w:r>
      <w:proofErr w:type="spellEnd"/>
      <w:r w:rsidRPr="002231BD">
        <w:rPr>
          <w:rFonts w:ascii="Times New Roman" w:hAnsi="Times New Roman" w:cs="Times New Roman"/>
        </w:rPr>
        <w:t xml:space="preserve">” to force STAR to not soft-clip reads, minimum allowable read junction overhang was set to 16 </w:t>
      </w:r>
      <w:proofErr w:type="spellStart"/>
      <w:r w:rsidRPr="002231BD">
        <w:rPr>
          <w:rFonts w:ascii="Times New Roman" w:hAnsi="Times New Roman" w:cs="Times New Roman"/>
        </w:rPr>
        <w:t>bp</w:t>
      </w:r>
      <w:proofErr w:type="spellEnd"/>
      <w:r w:rsidRPr="002231BD">
        <w:rPr>
          <w:rFonts w:ascii="Times New Roman" w:hAnsi="Times New Roman" w:cs="Times New Roman"/>
        </w:rPr>
        <w:t>, up to three mismatches were allowed per alignment, and multimapping alignments were disallowed.</w:t>
      </w:r>
    </w:p>
    <w:p w14:paraId="691FAD6C" w14:textId="40FB0914" w:rsidR="00D94F44" w:rsidRPr="002231BD" w:rsidRDefault="0058790F">
      <w:pPr>
        <w:spacing w:line="360" w:lineRule="auto"/>
        <w:jc w:val="both"/>
        <w:rPr>
          <w:rFonts w:ascii="Times New Roman" w:hAnsi="Times New Roman" w:cs="Times New Roman"/>
        </w:rPr>
      </w:pPr>
      <w:r w:rsidRPr="002231BD">
        <w:rPr>
          <w:rFonts w:ascii="Times New Roman" w:hAnsi="Times New Roman" w:cs="Times New Roman"/>
        </w:rPr>
        <w:t>Genome alignments and junctions identified using STAR where then used to assemble and estimate transcript</w:t>
      </w:r>
      <w:r w:rsidR="008969DE">
        <w:rPr>
          <w:rFonts w:ascii="Times New Roman" w:hAnsi="Times New Roman" w:cs="Times New Roman"/>
        </w:rPr>
        <w:t xml:space="preserve">s using </w:t>
      </w:r>
      <w:proofErr w:type="spellStart"/>
      <w:r w:rsidR="008969DE">
        <w:rPr>
          <w:rFonts w:ascii="Times New Roman" w:hAnsi="Times New Roman" w:cs="Times New Roman"/>
        </w:rPr>
        <w:t>iReckon</w:t>
      </w:r>
      <w:proofErr w:type="spellEnd"/>
      <w:r w:rsidR="008969DE">
        <w:rPr>
          <w:rFonts w:ascii="Times New Roman" w:hAnsi="Times New Roman" w:cs="Times New Roman"/>
        </w:rPr>
        <w:t xml:space="preserve">, version 1.0.8 </w:t>
      </w:r>
      <w:r w:rsidR="008969DE">
        <w:rPr>
          <w:rFonts w:ascii="Times New Roman" w:hAnsi="Times New Roman" w:cs="Times New Roman"/>
        </w:rPr>
        <w:fldChar w:fldCharType="begin"/>
      </w:r>
      <w:r w:rsidR="008969DE">
        <w:rPr>
          <w:rFonts w:ascii="Times New Roman" w:hAnsi="Times New Roman" w:cs="Times New Roman"/>
        </w:rPr>
        <w:instrText xml:space="preserve"> ADDIN EN.CITE &lt;EndNote&gt;&lt;Cite&gt;&lt;Author&gt;Mezlini&lt;/Author&gt;&lt;Year&gt;2013&lt;/Year&gt;&lt;IDText&gt;iReckon: Simultaneous isoform discovery and abundance estimation from RNA-seq data&lt;/IDText&gt;&lt;DisplayText&gt;[3]&lt;/DisplayText&gt;&lt;record&gt;&lt;dates&gt;&lt;pub-dates&gt;&lt;date&gt;Mar&lt;/date&gt;&lt;/pub-dates&gt;&lt;year&gt;2013&lt;/year&gt;&lt;/dates&gt;&lt;urls&gt;&lt;related-urls&gt;&lt;url&gt;&amp;lt;Go to ISI&amp;gt;://WOS:000315806800011&lt;/url&gt;&lt;/related-urls&gt;&lt;/urls&gt;&lt;isbn&gt;1088-9051&lt;/isbn&gt;&lt;titles&gt;&lt;title&gt;iReckon: Simultaneous isoform discovery and abundance estimation from RNA-seq data&lt;/title&gt;&lt;secondary-title&gt;Genome Research&lt;/secondary-title&gt;&lt;/titles&gt;&lt;pages&gt;519-529&lt;/pages&gt;&lt;number&gt;3&lt;/number&gt;&lt;contributors&gt;&lt;authors&gt;&lt;author&gt;Mezlini, Aziz M.&lt;/author&gt;&lt;author&gt;Smith, Eric J. M.&lt;/author&gt;&lt;author&gt;Fiume, Marc&lt;/author&gt;&lt;author&gt;Buske, Orion&lt;/author&gt;&lt;author&gt;Savich, Gleb L.&lt;/author&gt;&lt;author&gt;Shah, Sohrab&lt;/author&gt;&lt;author&gt;Aparicio, Sam&lt;/author&gt;&lt;author&gt;Chiang, Derek Y.&lt;/author&gt;&lt;author&gt;Goldenberg, Anna&lt;/author&gt;&lt;author&gt;Brudno, Michael&lt;/author&gt;&lt;/authors&gt;&lt;/contributors&gt;&lt;added-date format="utc"&gt;1433422024&lt;/added-date&gt;&lt;ref-type name="Journal Article"&gt;17&lt;/ref-type&gt;&lt;rec-number&gt;12&lt;/rec-number&gt;&lt;last-updated-date format="utc"&gt;1475272149&lt;/last-updated-date&gt;&lt;accession-num&gt;WOS:000315806800011&lt;/accession-num&gt;&lt;electronic-resource-num&gt;10.1101/gr.142232.112&lt;/electronic-resource-num&gt;&lt;volume&gt;23&lt;/volume&gt;&lt;/record&gt;&lt;/Cite&gt;&lt;/EndNote&gt;</w:instrText>
      </w:r>
      <w:r w:rsidR="008969DE">
        <w:rPr>
          <w:rFonts w:ascii="Times New Roman" w:hAnsi="Times New Roman" w:cs="Times New Roman"/>
        </w:rPr>
        <w:fldChar w:fldCharType="separate"/>
      </w:r>
      <w:r w:rsidR="008969DE">
        <w:rPr>
          <w:rFonts w:ascii="Times New Roman" w:hAnsi="Times New Roman" w:cs="Times New Roman"/>
          <w:noProof/>
        </w:rPr>
        <w:t>[3]</w:t>
      </w:r>
      <w:r w:rsidR="008969DE">
        <w:rPr>
          <w:rFonts w:ascii="Times New Roman" w:hAnsi="Times New Roman" w:cs="Times New Roman"/>
        </w:rPr>
        <w:fldChar w:fldCharType="end"/>
      </w:r>
      <w:r w:rsidRPr="002231BD">
        <w:rPr>
          <w:rFonts w:ascii="Times New Roman" w:hAnsi="Times New Roman" w:cs="Times New Roman"/>
        </w:rPr>
        <w:t>. Annotations consisting of a 12-column BED file of transcripts (including genomic start positions and lengths of each exon) was used to guide transcript assembly. Alignments to transcript sequences were carried out using BWA-MEM (version 0.7.1</w:t>
      </w:r>
      <w:r w:rsidR="008969DE">
        <w:rPr>
          <w:rFonts w:ascii="Times New Roman" w:hAnsi="Times New Roman" w:cs="Times New Roman"/>
        </w:rPr>
        <w:t>2</w:t>
      </w:r>
      <w:r w:rsidRPr="002231BD">
        <w:rPr>
          <w:rFonts w:ascii="Times New Roman" w:hAnsi="Times New Roman" w:cs="Times New Roman"/>
        </w:rPr>
        <w:t>)</w:t>
      </w:r>
      <w:r w:rsidR="008969DE">
        <w:rPr>
          <w:rFonts w:ascii="Times New Roman" w:hAnsi="Times New Roman" w:cs="Times New Roman"/>
        </w:rPr>
        <w:t xml:space="preserve"> </w:t>
      </w:r>
      <w:r w:rsidR="008969DE">
        <w:rPr>
          <w:rFonts w:ascii="Times New Roman" w:hAnsi="Times New Roman" w:cs="Times New Roman"/>
        </w:rPr>
        <w:fldChar w:fldCharType="begin"/>
      </w:r>
      <w:r w:rsidR="008969DE">
        <w:rPr>
          <w:rFonts w:ascii="Times New Roman" w:hAnsi="Times New Roman" w:cs="Times New Roman"/>
        </w:rPr>
        <w:instrText xml:space="preserve"> ADDIN EN.CITE &lt;EndNote&gt;&lt;Cite&gt;&lt;Author&gt;Li&lt;/Author&gt;&lt;Year&gt;2013&lt;/Year&gt;&lt;IDText&gt;Aligning sequence reads, clone sequences and assembly contigs with BWA-MEM&lt;/IDText&gt;&lt;DisplayText&gt;[2]&lt;/DisplayText&gt;&lt;record&gt;&lt;titles&gt;&lt;title&gt;Aligning sequence reads, clone sequences and assembly contigs with BWA-MEM&lt;/title&gt;&lt;secondary-title&gt;arXic preprint arXiv:1303.3997&lt;/secondary-title&gt;&lt;/titles&gt;&lt;contributors&gt;&lt;authors&gt;&lt;author&gt;Li, H.&lt;/author&gt;&lt;/authors&gt;&lt;/contributors&gt;&lt;added-date format="utc"&gt;1462916966&lt;/added-date&gt;&lt;ref-type name="Journal Article"&gt;17&lt;/ref-type&gt;&lt;dates&gt;&lt;year&gt;2013&lt;/year&gt;&lt;/dates&gt;&lt;rec-number&gt;355&lt;/rec-number&gt;&lt;last-updated-date format="utc"&gt;1462916966&lt;/last-updated-date&gt;&lt;/record&gt;&lt;/Cite&gt;&lt;/EndNote&gt;</w:instrText>
      </w:r>
      <w:r w:rsidR="008969DE">
        <w:rPr>
          <w:rFonts w:ascii="Times New Roman" w:hAnsi="Times New Roman" w:cs="Times New Roman"/>
        </w:rPr>
        <w:fldChar w:fldCharType="separate"/>
      </w:r>
      <w:r w:rsidR="008969DE">
        <w:rPr>
          <w:rFonts w:ascii="Times New Roman" w:hAnsi="Times New Roman" w:cs="Times New Roman"/>
          <w:noProof/>
        </w:rPr>
        <w:t>[2]</w:t>
      </w:r>
      <w:r w:rsidR="008969DE">
        <w:rPr>
          <w:rFonts w:ascii="Times New Roman" w:hAnsi="Times New Roman" w:cs="Times New Roman"/>
        </w:rPr>
        <w:fldChar w:fldCharType="end"/>
      </w:r>
      <w:r w:rsidRPr="002231BD">
        <w:rPr>
          <w:rFonts w:ascii="Times New Roman" w:hAnsi="Times New Roman" w:cs="Times New Roman"/>
        </w:rPr>
        <w:t xml:space="preserve"> as per the </w:t>
      </w:r>
      <w:proofErr w:type="spellStart"/>
      <w:r w:rsidRPr="002231BD">
        <w:rPr>
          <w:rFonts w:ascii="Times New Roman" w:hAnsi="Times New Roman" w:cs="Times New Roman"/>
        </w:rPr>
        <w:t>iReckon</w:t>
      </w:r>
      <w:proofErr w:type="spellEnd"/>
      <w:r w:rsidRPr="002231BD">
        <w:rPr>
          <w:rFonts w:ascii="Times New Roman" w:hAnsi="Times New Roman" w:cs="Times New Roman"/>
        </w:rPr>
        <w:t xml:space="preserve"> user guide, and all parameters were left at their default settings.</w:t>
      </w:r>
    </w:p>
    <w:p w14:paraId="7F4D049D" w14:textId="3EF03857" w:rsidR="00D94F44" w:rsidRPr="002231BD" w:rsidRDefault="0058790F">
      <w:pPr>
        <w:spacing w:line="360" w:lineRule="auto"/>
        <w:jc w:val="both"/>
        <w:rPr>
          <w:rFonts w:ascii="Times New Roman" w:hAnsi="Times New Roman" w:cs="Times New Roman"/>
        </w:rPr>
      </w:pPr>
      <w:r w:rsidRPr="002231BD">
        <w:rPr>
          <w:rFonts w:ascii="Times New Roman" w:eastAsia="Liberation Serif" w:hAnsi="Times New Roman" w:cs="Times New Roman"/>
        </w:rPr>
        <w:t xml:space="preserve">To estimate concordance of transcript estimates between replicates, we first calculated the simple </w:t>
      </w:r>
      <w:r w:rsidRPr="002231BD">
        <w:rPr>
          <w:rFonts w:ascii="Times New Roman" w:eastAsia="Liberation Serif" w:hAnsi="Times New Roman" w:cs="Times New Roman"/>
        </w:rPr>
        <w:lastRenderedPageBreak/>
        <w:t>agreement between replicates as the proportion of transcripts detected in both replicates. Transcripts  observed in both samples were then binned based on the minimum RPKM (</w:t>
      </w:r>
      <w:r w:rsidRPr="002231BD">
        <w:rPr>
          <w:rFonts w:ascii="Times New Roman" w:eastAsia="Liberation Serif" w:hAnsi="Times New Roman" w:cs="Times New Roman"/>
          <w:u w:val="single"/>
        </w:rPr>
        <w:t>r</w:t>
      </w:r>
      <w:r w:rsidRPr="002231BD">
        <w:rPr>
          <w:rFonts w:ascii="Times New Roman" w:eastAsia="Liberation Serif" w:hAnsi="Times New Roman" w:cs="Times New Roman"/>
        </w:rPr>
        <w:t xml:space="preserve">eads </w:t>
      </w:r>
      <w:r w:rsidRPr="002231BD">
        <w:rPr>
          <w:rFonts w:ascii="Times New Roman" w:eastAsia="Liberation Serif" w:hAnsi="Times New Roman" w:cs="Times New Roman"/>
          <w:u w:val="single"/>
        </w:rPr>
        <w:t>p</w:t>
      </w:r>
      <w:r w:rsidRPr="002231BD">
        <w:rPr>
          <w:rFonts w:ascii="Times New Roman" w:eastAsia="Liberation Serif" w:hAnsi="Times New Roman" w:cs="Times New Roman"/>
        </w:rPr>
        <w:t xml:space="preserve">er </w:t>
      </w:r>
      <w:r w:rsidRPr="002231BD">
        <w:rPr>
          <w:rFonts w:ascii="Times New Roman" w:eastAsia="Liberation Serif" w:hAnsi="Times New Roman" w:cs="Times New Roman"/>
          <w:u w:val="single"/>
        </w:rPr>
        <w:t>k</w:t>
      </w:r>
      <w:r w:rsidRPr="002231BD">
        <w:rPr>
          <w:rFonts w:ascii="Times New Roman" w:eastAsia="Liberation Serif" w:hAnsi="Times New Roman" w:cs="Times New Roman"/>
        </w:rPr>
        <w:t xml:space="preserve">ilobase </w:t>
      </w:r>
      <w:r w:rsidRPr="002231BD">
        <w:rPr>
          <w:rFonts w:ascii="Times New Roman" w:eastAsia="Liberation Serif" w:hAnsi="Times New Roman" w:cs="Times New Roman"/>
          <w:u w:val="single"/>
        </w:rPr>
        <w:t>m</w:t>
      </w:r>
      <w:r w:rsidRPr="002231BD">
        <w:rPr>
          <w:rFonts w:ascii="Times New Roman" w:eastAsia="Liberation Serif" w:hAnsi="Times New Roman" w:cs="Times New Roman"/>
        </w:rPr>
        <w:t>illion) estimate between NPC1 and NPC2: “no expression” (RPKM</w:t>
      </w:r>
      <w:r w:rsidR="008969DE">
        <w:rPr>
          <w:rFonts w:ascii="Times New Roman" w:eastAsia="Liberation Serif" w:hAnsi="Times New Roman" w:cs="Times New Roman"/>
        </w:rPr>
        <w:t xml:space="preserve"> </w:t>
      </w:r>
      <w:r w:rsidRPr="002231BD">
        <w:rPr>
          <w:rFonts w:ascii="Times New Roman" w:eastAsia="Liberation Serif" w:hAnsi="Times New Roman" w:cs="Times New Roman"/>
        </w:rPr>
        <w:t>=</w:t>
      </w:r>
      <w:r w:rsidR="008969DE">
        <w:rPr>
          <w:rFonts w:ascii="Times New Roman" w:eastAsia="Liberation Serif" w:hAnsi="Times New Roman" w:cs="Times New Roman"/>
        </w:rPr>
        <w:t xml:space="preserve"> </w:t>
      </w:r>
      <w:r w:rsidRPr="002231BD">
        <w:rPr>
          <w:rFonts w:ascii="Times New Roman" w:eastAsia="Liberation Serif" w:hAnsi="Times New Roman" w:cs="Times New Roman"/>
        </w:rPr>
        <w:t>0 in both replicates), “very low expression” (minimum log-RPKM: 0 - 0.1), “low expression” (minimum log-RPKM: 0.1 - 0.6), “moderate expression” (minimum log-RPKM: 0.6 – 1.6) and “high expression” (minimum log-RPKM: 1.6 or higher). This approximately corresponds to no expression, 25th percentile of expression (“very low expression”), 25th to 75th percentil</w:t>
      </w:r>
      <w:r w:rsidR="00E03BA3" w:rsidRPr="002231BD">
        <w:rPr>
          <w:rFonts w:ascii="Times New Roman" w:eastAsia="Liberation Serif" w:hAnsi="Times New Roman" w:cs="Times New Roman"/>
        </w:rPr>
        <w:t>e</w:t>
      </w:r>
      <w:r w:rsidRPr="002231BD">
        <w:rPr>
          <w:rFonts w:ascii="Times New Roman" w:eastAsia="Liberation Serif" w:hAnsi="Times New Roman" w:cs="Times New Roman"/>
        </w:rPr>
        <w:t xml:space="preserve"> of expression (“low expression”), 75th to 90th percentile of expression (“moderate expression”), and 90th to 100th percentile of expression (“high expression”). Transcripts that were present in only one replicate were assigned to the RPKM bins described above. The coefficient of variation (CV) for each RPKM bin for each sample was then calculated.</w:t>
      </w:r>
    </w:p>
    <w:p w14:paraId="48B6E8F4" w14:textId="77777777" w:rsidR="0058790F" w:rsidRPr="002231BD" w:rsidRDefault="0058790F">
      <w:pPr>
        <w:widowControl/>
        <w:suppressAutoHyphens w:val="0"/>
        <w:rPr>
          <w:rFonts w:ascii="Times New Roman" w:eastAsia="Liberation Serif" w:hAnsi="Times New Roman" w:cs="Times New Roman"/>
        </w:rPr>
      </w:pPr>
      <w:r w:rsidRPr="002231BD">
        <w:rPr>
          <w:rFonts w:ascii="Times New Roman" w:eastAsia="Liberation Serif" w:hAnsi="Times New Roman" w:cs="Times New Roman"/>
        </w:rPr>
        <w:br w:type="page"/>
      </w:r>
    </w:p>
    <w:p w14:paraId="2C13C477" w14:textId="6B5B9FEC" w:rsidR="00D94F44" w:rsidRPr="002231BD" w:rsidRDefault="00E95403">
      <w:pPr>
        <w:spacing w:line="360" w:lineRule="auto"/>
        <w:jc w:val="both"/>
        <w:rPr>
          <w:rFonts w:ascii="Times New Roman" w:eastAsia="Liberation Serif" w:hAnsi="Times New Roman" w:cs="Times New Roman"/>
        </w:rPr>
      </w:pPr>
      <w:r w:rsidRPr="002231BD">
        <w:rPr>
          <w:rFonts w:ascii="Times New Roman" w:eastAsia="Liberation Serif" w:hAnsi="Times New Roman" w:cs="Times New Roman"/>
          <w:noProof/>
          <w:lang w:eastAsia="en-US" w:bidi="ar-SA"/>
        </w:rPr>
        <w:lastRenderedPageBreak/>
        <w:drawing>
          <wp:inline distT="0" distB="0" distL="0" distR="0" wp14:anchorId="046EBC13" wp14:editId="39A0DD6E">
            <wp:extent cx="6323330" cy="6538595"/>
            <wp:effectExtent l="0" t="0" r="1270" b="0"/>
            <wp:docPr id="2" name="Picture 2" descr="S:\McIntyre_Lab\event_analysis\manuscript\revision_g3\express_ireckon_ba_pl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cIntyre_Lab\event_analysis\manuscript\revision_g3\express_ireckon_ba_plots.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23330" cy="6538595"/>
                    </a:xfrm>
                    <a:prstGeom prst="rect">
                      <a:avLst/>
                    </a:prstGeom>
                    <a:noFill/>
                    <a:ln>
                      <a:noFill/>
                    </a:ln>
                  </pic:spPr>
                </pic:pic>
              </a:graphicData>
            </a:graphic>
          </wp:inline>
        </w:drawing>
      </w:r>
    </w:p>
    <w:p w14:paraId="0D64CB52" w14:textId="77777777" w:rsidR="0058790F" w:rsidRPr="002231BD" w:rsidRDefault="0058790F">
      <w:pPr>
        <w:spacing w:line="360" w:lineRule="auto"/>
        <w:jc w:val="both"/>
        <w:rPr>
          <w:rFonts w:ascii="Times New Roman" w:eastAsia="Liberation Serif" w:hAnsi="Times New Roman" w:cs="Times New Roman"/>
        </w:rPr>
      </w:pPr>
    </w:p>
    <w:p w14:paraId="0CEC00AB" w14:textId="3A99C38C" w:rsidR="00D94F44" w:rsidRDefault="0058790F">
      <w:pPr>
        <w:spacing w:line="360" w:lineRule="auto"/>
        <w:jc w:val="both"/>
        <w:rPr>
          <w:rFonts w:ascii="Times New Roman" w:eastAsia="Liberation Serif" w:hAnsi="Times New Roman" w:cs="Times New Roman"/>
        </w:rPr>
      </w:pPr>
      <w:r w:rsidRPr="002231BD">
        <w:rPr>
          <w:rFonts w:ascii="Times New Roman" w:eastAsia="Liberation Serif" w:hAnsi="Times New Roman" w:cs="Times New Roman"/>
          <w:b/>
          <w:bCs/>
        </w:rPr>
        <w:t>Supplementary Figure</w:t>
      </w:r>
      <w:r w:rsidR="002231BD" w:rsidRPr="002231BD">
        <w:rPr>
          <w:rFonts w:ascii="Times New Roman" w:eastAsia="Liberation Serif" w:hAnsi="Times New Roman" w:cs="Times New Roman"/>
          <w:b/>
          <w:bCs/>
        </w:rPr>
        <w:t xml:space="preserve"> S3.1</w:t>
      </w:r>
      <w:r w:rsidRPr="002231BD">
        <w:rPr>
          <w:rFonts w:ascii="Times New Roman" w:eastAsia="Liberation Serif" w:hAnsi="Times New Roman" w:cs="Times New Roman"/>
          <w:b/>
          <w:bCs/>
        </w:rPr>
        <w:t xml:space="preserve">. </w:t>
      </w:r>
      <w:r w:rsidRPr="002231BD">
        <w:rPr>
          <w:rFonts w:ascii="Times New Roman" w:eastAsia="Liberation Serif" w:hAnsi="Times New Roman" w:cs="Times New Roman"/>
        </w:rPr>
        <w:t xml:space="preserve">Replicate-to-replicate concordance of </w:t>
      </w:r>
      <w:proofErr w:type="spellStart"/>
      <w:r w:rsidRPr="002231BD">
        <w:rPr>
          <w:rFonts w:ascii="Times New Roman" w:eastAsia="Liberation Serif" w:hAnsi="Times New Roman" w:cs="Times New Roman"/>
        </w:rPr>
        <w:t>eXpress</w:t>
      </w:r>
      <w:proofErr w:type="spellEnd"/>
      <w:r w:rsidRPr="002231BD">
        <w:rPr>
          <w:rFonts w:ascii="Times New Roman" w:eastAsia="Liberation Serif" w:hAnsi="Times New Roman" w:cs="Times New Roman"/>
        </w:rPr>
        <w:t xml:space="preserve"> transcript estimates for </w:t>
      </w:r>
      <w:proofErr w:type="spellStart"/>
      <w:r w:rsidRPr="002231BD">
        <w:rPr>
          <w:rFonts w:ascii="Times New Roman" w:eastAsia="Liberation Serif" w:hAnsi="Times New Roman" w:cs="Times New Roman"/>
        </w:rPr>
        <w:t>RefSeq</w:t>
      </w:r>
      <w:proofErr w:type="spellEnd"/>
      <w:r w:rsidRPr="002231BD">
        <w:rPr>
          <w:rFonts w:ascii="Times New Roman" w:eastAsia="Liberation Serif" w:hAnsi="Times New Roman" w:cs="Times New Roman"/>
        </w:rPr>
        <w:t xml:space="preserve"> and Event Analysis transcripts. Bland-Altman plots and coefficients of variance (CVs) for (A) all </w:t>
      </w:r>
      <w:proofErr w:type="spellStart"/>
      <w:r w:rsidRPr="002231BD">
        <w:rPr>
          <w:rFonts w:ascii="Times New Roman" w:eastAsia="Liberation Serif" w:hAnsi="Times New Roman" w:cs="Times New Roman"/>
        </w:rPr>
        <w:t>RefSeq</w:t>
      </w:r>
      <w:proofErr w:type="spellEnd"/>
      <w:r w:rsidRPr="002231BD">
        <w:rPr>
          <w:rFonts w:ascii="Times New Roman" w:eastAsia="Liberation Serif" w:hAnsi="Times New Roman" w:cs="Times New Roman"/>
        </w:rPr>
        <w:t xml:space="preserve"> transcripts (128,631 transcripts); (B) Event Analysis (EA) transcripts with 100% of events</w:t>
      </w:r>
      <w:r w:rsidR="00E95403" w:rsidRPr="002231BD">
        <w:rPr>
          <w:rFonts w:ascii="Times New Roman" w:eastAsia="Liberation Serif" w:hAnsi="Times New Roman" w:cs="Times New Roman"/>
        </w:rPr>
        <w:t xml:space="preserve"> </w:t>
      </w:r>
      <w:r w:rsidRPr="002231BD">
        <w:rPr>
          <w:rFonts w:ascii="Times New Roman" w:eastAsia="Liberation Serif" w:hAnsi="Times New Roman" w:cs="Times New Roman"/>
        </w:rPr>
        <w:t xml:space="preserve">detected (APN&gt;0; N=14,734); and (C) EA transcripts with at least 75% of events detected (APN≥5; N=13,740). Transcripts are binned into no expression (log-TPM = 0; black), very low expression (0 &lt; log-TPM &lt; 0.5; red), low expression (0.5 ≤ log-TPM &lt; 2; orange), moderate expression (2 ≤ log-TPM &lt; </w:t>
      </w:r>
      <w:r w:rsidRPr="002231BD">
        <w:rPr>
          <w:rFonts w:ascii="Times New Roman" w:eastAsia="Liberation Serif" w:hAnsi="Times New Roman" w:cs="Times New Roman"/>
        </w:rPr>
        <w:lastRenderedPageBreak/>
        <w:t xml:space="preserve">4; yellow), and high expression (log-TPM ≥ 4; blue) and the CVs for each bin and for each NPC replicate (NPC rep 1, NPC rep 2) are indicated. (D) Bland-Altman plot for all </w:t>
      </w:r>
      <w:proofErr w:type="spellStart"/>
      <w:r w:rsidRPr="002231BD">
        <w:rPr>
          <w:rFonts w:ascii="Times New Roman" w:eastAsia="Liberation Serif" w:hAnsi="Times New Roman" w:cs="Times New Roman"/>
        </w:rPr>
        <w:t>iReckon</w:t>
      </w:r>
      <w:proofErr w:type="spellEnd"/>
      <w:r w:rsidRPr="002231BD">
        <w:rPr>
          <w:rFonts w:ascii="Times New Roman" w:eastAsia="Liberation Serif" w:hAnsi="Times New Roman" w:cs="Times New Roman"/>
        </w:rPr>
        <w:t>-assembled transcripts from both NPC replicates (N=2,462 transcripts), and CVs for all assembled transcripts in each sample (NPC rep 1=14,318 transcripts, NPC rep 2=11,582 transcripts). Transcripts are binned into no expression (log-</w:t>
      </w:r>
      <w:bookmarkStart w:id="1" w:name="__DdeLink__42103_1869813700"/>
      <w:r w:rsidRPr="002231BD">
        <w:rPr>
          <w:rFonts w:ascii="Times New Roman" w:eastAsia="Liberation Serif" w:hAnsi="Times New Roman" w:cs="Times New Roman"/>
        </w:rPr>
        <w:t>RPKM</w:t>
      </w:r>
      <w:bookmarkEnd w:id="1"/>
      <w:r w:rsidRPr="002231BD">
        <w:rPr>
          <w:rFonts w:ascii="Times New Roman" w:eastAsia="Liberation Serif" w:hAnsi="Times New Roman" w:cs="Times New Roman"/>
        </w:rPr>
        <w:t xml:space="preserve"> = 0; black), very low expression (0 &lt; log- RPKM &lt; 0.1; red), low expression (0.1 ≤ log- RPKM &lt; 0.6; orange), moderate expression (0.6 ≤ log-TPM &lt; 1.6; yellow), and high expression (log-TPM ≥ 1.6; blue).</w:t>
      </w:r>
    </w:p>
    <w:p w14:paraId="20AE262B" w14:textId="77777777" w:rsidR="008969DE" w:rsidRDefault="008969DE">
      <w:pPr>
        <w:spacing w:line="360" w:lineRule="auto"/>
        <w:jc w:val="both"/>
        <w:rPr>
          <w:rFonts w:ascii="Times New Roman" w:eastAsia="Liberation Serif" w:hAnsi="Times New Roman" w:cs="Times New Roman"/>
        </w:rPr>
      </w:pPr>
    </w:p>
    <w:p w14:paraId="53FAFAD0" w14:textId="46527B3E" w:rsidR="008969DE" w:rsidRDefault="008969DE">
      <w:pPr>
        <w:spacing w:line="360" w:lineRule="auto"/>
        <w:jc w:val="both"/>
        <w:rPr>
          <w:rFonts w:ascii="Times New Roman" w:eastAsia="Liberation Serif" w:hAnsi="Times New Roman" w:cs="Times New Roman"/>
          <w:b/>
          <w:sz w:val="28"/>
        </w:rPr>
      </w:pPr>
      <w:r>
        <w:rPr>
          <w:rFonts w:ascii="Times New Roman" w:eastAsia="Liberation Serif" w:hAnsi="Times New Roman" w:cs="Times New Roman"/>
          <w:b/>
          <w:sz w:val="28"/>
        </w:rPr>
        <w:t>References</w:t>
      </w:r>
    </w:p>
    <w:p w14:paraId="2309546A" w14:textId="77777777" w:rsidR="008969DE" w:rsidRPr="008969DE" w:rsidRDefault="008969DE" w:rsidP="008969DE">
      <w:pPr>
        <w:pStyle w:val="EndNoteBibliography"/>
        <w:spacing w:line="360" w:lineRule="auto"/>
        <w:ind w:left="720" w:hanging="720"/>
      </w:pPr>
      <w:r>
        <w:rPr>
          <w:rFonts w:ascii="Times New Roman" w:hAnsi="Times New Roman" w:cs="Times New Roman"/>
        </w:rPr>
        <w:fldChar w:fldCharType="begin"/>
      </w:r>
      <w:r>
        <w:rPr>
          <w:rFonts w:ascii="Times New Roman" w:hAnsi="Times New Roman" w:cs="Times New Roman"/>
        </w:rPr>
        <w:instrText xml:space="preserve"> ADDIN EN.REFLIST </w:instrText>
      </w:r>
      <w:r>
        <w:rPr>
          <w:rFonts w:ascii="Times New Roman" w:hAnsi="Times New Roman" w:cs="Times New Roman"/>
        </w:rPr>
        <w:fldChar w:fldCharType="separate"/>
      </w:r>
      <w:r w:rsidRPr="008969DE">
        <w:t>1.</w:t>
      </w:r>
      <w:r w:rsidRPr="008969DE">
        <w:tab/>
        <w:t xml:space="preserve">Roberts A, Pachter L: </w:t>
      </w:r>
      <w:r w:rsidRPr="008969DE">
        <w:rPr>
          <w:b/>
        </w:rPr>
        <w:t>Streaming fragment assignment for real-time analysis of sequencing experiments</w:t>
      </w:r>
      <w:r w:rsidRPr="008969DE">
        <w:t xml:space="preserve">. </w:t>
      </w:r>
      <w:r w:rsidRPr="008969DE">
        <w:rPr>
          <w:i/>
        </w:rPr>
        <w:t xml:space="preserve">Nature Methods </w:t>
      </w:r>
      <w:r w:rsidRPr="008969DE">
        <w:t xml:space="preserve">2013, </w:t>
      </w:r>
      <w:r w:rsidRPr="008969DE">
        <w:rPr>
          <w:b/>
        </w:rPr>
        <w:t>10</w:t>
      </w:r>
      <w:r w:rsidRPr="008969DE">
        <w:t>(1):71-U99.</w:t>
      </w:r>
    </w:p>
    <w:p w14:paraId="5D2F2744" w14:textId="77777777" w:rsidR="008969DE" w:rsidRPr="008969DE" w:rsidRDefault="008969DE" w:rsidP="008969DE">
      <w:pPr>
        <w:pStyle w:val="EndNoteBibliography"/>
        <w:spacing w:line="360" w:lineRule="auto"/>
        <w:ind w:left="720" w:hanging="720"/>
      </w:pPr>
      <w:r w:rsidRPr="008969DE">
        <w:t>2.</w:t>
      </w:r>
      <w:r w:rsidRPr="008969DE">
        <w:tab/>
        <w:t xml:space="preserve">Li H: </w:t>
      </w:r>
      <w:r w:rsidRPr="008969DE">
        <w:rPr>
          <w:b/>
        </w:rPr>
        <w:t>Aligning sequence reads, clone sequences and assembly contigs with BWA-MEM</w:t>
      </w:r>
      <w:r w:rsidRPr="008969DE">
        <w:t xml:space="preserve">. </w:t>
      </w:r>
      <w:r w:rsidRPr="008969DE">
        <w:rPr>
          <w:i/>
        </w:rPr>
        <w:t xml:space="preserve">arXic preprint arXiv:13033997 </w:t>
      </w:r>
      <w:r w:rsidRPr="008969DE">
        <w:t>2013.</w:t>
      </w:r>
    </w:p>
    <w:p w14:paraId="7575D17F" w14:textId="77777777" w:rsidR="008969DE" w:rsidRPr="008969DE" w:rsidRDefault="008969DE" w:rsidP="008969DE">
      <w:pPr>
        <w:pStyle w:val="EndNoteBibliography"/>
        <w:spacing w:line="360" w:lineRule="auto"/>
        <w:ind w:left="720" w:hanging="720"/>
      </w:pPr>
      <w:r w:rsidRPr="008969DE">
        <w:t>3.</w:t>
      </w:r>
      <w:r w:rsidRPr="008969DE">
        <w:tab/>
        <w:t xml:space="preserve">Mezlini AM, Smith EJM, Fiume M, Buske O, Savich GL, Shah S, Aparicio S, Chiang DY, Goldenberg A, Brudno M: </w:t>
      </w:r>
      <w:r w:rsidRPr="008969DE">
        <w:rPr>
          <w:b/>
        </w:rPr>
        <w:t>iReckon: Simultaneous isoform discovery and abundance estimation from RNA-seq data</w:t>
      </w:r>
      <w:r w:rsidRPr="008969DE">
        <w:t xml:space="preserve">. </w:t>
      </w:r>
      <w:r w:rsidRPr="008969DE">
        <w:rPr>
          <w:i/>
        </w:rPr>
        <w:t xml:space="preserve">Genome Research </w:t>
      </w:r>
      <w:r w:rsidRPr="008969DE">
        <w:t xml:space="preserve">2013, </w:t>
      </w:r>
      <w:r w:rsidRPr="008969DE">
        <w:rPr>
          <w:b/>
        </w:rPr>
        <w:t>23</w:t>
      </w:r>
      <w:r w:rsidRPr="008969DE">
        <w:t>(3):519-529.</w:t>
      </w:r>
    </w:p>
    <w:p w14:paraId="5E74EA6F" w14:textId="750254A2" w:rsidR="008969DE" w:rsidRPr="008969DE" w:rsidRDefault="008969DE" w:rsidP="008969DE">
      <w:pPr>
        <w:spacing w:line="360" w:lineRule="auto"/>
        <w:jc w:val="both"/>
        <w:rPr>
          <w:rFonts w:ascii="Times New Roman" w:hAnsi="Times New Roman" w:cs="Times New Roman"/>
        </w:rPr>
      </w:pPr>
      <w:r>
        <w:rPr>
          <w:rFonts w:ascii="Times New Roman" w:hAnsi="Times New Roman" w:cs="Times New Roman"/>
        </w:rPr>
        <w:fldChar w:fldCharType="end"/>
      </w:r>
    </w:p>
    <w:sectPr w:rsidR="008969DE" w:rsidRPr="008969DE">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Droid Sans Fallback">
    <w:altName w:val="Times New Roman"/>
    <w:panose1 w:val="020B0604020202020204"/>
    <w:charset w:val="00"/>
    <w:family w:val="roman"/>
    <w:notTrueType/>
    <w:pitch w:val="default"/>
  </w:font>
  <w:font w:name="FreeSans">
    <w:altName w:val="Times New Roman"/>
    <w:panose1 w:val="020B0604020202020204"/>
    <w:charset w:val="00"/>
    <w:family w:val="roman"/>
    <w:notTrueType/>
    <w:pitch w:val="default"/>
  </w:font>
  <w:font w:name="Times New Roman">
    <w:panose1 w:val="02020603050405020304"/>
    <w:charset w:val="00"/>
    <w:family w:val="roman"/>
    <w:pitch w:val="variable"/>
    <w:sig w:usb0="E0002AEF" w:usb1="C0007841" w:usb2="00000009" w:usb3="00000000" w:csb0="000001FF" w:csb1="00000000"/>
  </w:font>
  <w:font w:name="Liberation Sans">
    <w:altName w:val="Arial"/>
    <w:panose1 w:val="020B0604020202020204"/>
    <w:charset w:val="01"/>
    <w:family w:val="swiss"/>
    <w:pitch w:val="variable"/>
  </w:font>
  <w:font w:name="Mangal">
    <w:panose1 w:val="02040503050203030202"/>
    <w:charset w:val="01"/>
    <w:family w:val="roman"/>
    <w:pitch w:val="variable"/>
    <w:sig w:usb0="0000A003" w:usb1="00000000" w:usb2="00000000" w:usb3="00000000" w:csb0="0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BMC Genomics&lt;/Style&gt;&lt;LeftDelim&gt;{&lt;/LeftDelim&gt;&lt;RightDelim&gt;}&lt;/RightDelim&gt;&lt;FontName&gt;Liberation Serif&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94F44"/>
    <w:rsid w:val="00213F4D"/>
    <w:rsid w:val="002231BD"/>
    <w:rsid w:val="002E39AF"/>
    <w:rsid w:val="00504068"/>
    <w:rsid w:val="0058790F"/>
    <w:rsid w:val="008969DE"/>
    <w:rsid w:val="00D94F44"/>
    <w:rsid w:val="00E03BA3"/>
    <w:rsid w:val="00E27239"/>
    <w:rsid w:val="00E95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94C59"/>
  <w15:docId w15:val="{3491F877-DFE0-47E2-B18E-11CBFC36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styleId="CommentReference">
    <w:name w:val="annotation reference"/>
    <w:basedOn w:val="DefaultParagraphFont"/>
    <w:uiPriority w:val="99"/>
    <w:semiHidden/>
    <w:unhideWhenUsed/>
    <w:rsid w:val="00E03BA3"/>
    <w:rPr>
      <w:sz w:val="16"/>
      <w:szCs w:val="16"/>
    </w:rPr>
  </w:style>
  <w:style w:type="paragraph" w:styleId="CommentText">
    <w:name w:val="annotation text"/>
    <w:basedOn w:val="Normal"/>
    <w:link w:val="CommentTextChar"/>
    <w:uiPriority w:val="99"/>
    <w:semiHidden/>
    <w:unhideWhenUsed/>
    <w:rsid w:val="00E03BA3"/>
    <w:rPr>
      <w:rFonts w:cs="Mangal"/>
      <w:sz w:val="20"/>
      <w:szCs w:val="18"/>
    </w:rPr>
  </w:style>
  <w:style w:type="character" w:customStyle="1" w:styleId="CommentTextChar">
    <w:name w:val="Comment Text Char"/>
    <w:basedOn w:val="DefaultParagraphFont"/>
    <w:link w:val="CommentText"/>
    <w:uiPriority w:val="99"/>
    <w:semiHidden/>
    <w:rsid w:val="00E03BA3"/>
    <w:rPr>
      <w:rFonts w:cs="Mangal"/>
      <w:sz w:val="20"/>
      <w:szCs w:val="18"/>
    </w:rPr>
  </w:style>
  <w:style w:type="paragraph" w:styleId="CommentSubject">
    <w:name w:val="annotation subject"/>
    <w:basedOn w:val="CommentText"/>
    <w:next w:val="CommentText"/>
    <w:link w:val="CommentSubjectChar"/>
    <w:uiPriority w:val="99"/>
    <w:semiHidden/>
    <w:unhideWhenUsed/>
    <w:rsid w:val="00E03BA3"/>
    <w:rPr>
      <w:b/>
      <w:bCs/>
    </w:rPr>
  </w:style>
  <w:style w:type="character" w:customStyle="1" w:styleId="CommentSubjectChar">
    <w:name w:val="Comment Subject Char"/>
    <w:basedOn w:val="CommentTextChar"/>
    <w:link w:val="CommentSubject"/>
    <w:uiPriority w:val="99"/>
    <w:semiHidden/>
    <w:rsid w:val="00E03BA3"/>
    <w:rPr>
      <w:rFonts w:cs="Mangal"/>
      <w:b/>
      <w:bCs/>
      <w:sz w:val="20"/>
      <w:szCs w:val="18"/>
    </w:rPr>
  </w:style>
  <w:style w:type="paragraph" w:styleId="BalloonText">
    <w:name w:val="Balloon Text"/>
    <w:basedOn w:val="Normal"/>
    <w:link w:val="BalloonTextChar"/>
    <w:uiPriority w:val="99"/>
    <w:semiHidden/>
    <w:unhideWhenUsed/>
    <w:rsid w:val="00E03BA3"/>
    <w:rPr>
      <w:rFonts w:ascii="Segoe UI" w:hAnsi="Segoe UI" w:cs="Mangal"/>
      <w:sz w:val="18"/>
      <w:szCs w:val="16"/>
    </w:rPr>
  </w:style>
  <w:style w:type="character" w:customStyle="1" w:styleId="BalloonTextChar">
    <w:name w:val="Balloon Text Char"/>
    <w:basedOn w:val="DefaultParagraphFont"/>
    <w:link w:val="BalloonText"/>
    <w:uiPriority w:val="99"/>
    <w:semiHidden/>
    <w:rsid w:val="00E03BA3"/>
    <w:rPr>
      <w:rFonts w:ascii="Segoe UI" w:hAnsi="Segoe UI" w:cs="Mangal"/>
      <w:sz w:val="18"/>
      <w:szCs w:val="16"/>
    </w:rPr>
  </w:style>
  <w:style w:type="paragraph" w:customStyle="1" w:styleId="EndNoteBibliographyTitle">
    <w:name w:val="EndNote Bibliography Title"/>
    <w:basedOn w:val="Normal"/>
    <w:link w:val="EndNoteBibliographyTitleChar"/>
    <w:rsid w:val="008969DE"/>
    <w:pPr>
      <w:jc w:val="center"/>
    </w:pPr>
    <w:rPr>
      <w:noProof/>
    </w:rPr>
  </w:style>
  <w:style w:type="character" w:customStyle="1" w:styleId="EndNoteBibliographyTitleChar">
    <w:name w:val="EndNote Bibliography Title Char"/>
    <w:basedOn w:val="DefaultParagraphFont"/>
    <w:link w:val="EndNoteBibliographyTitle"/>
    <w:rsid w:val="008969DE"/>
    <w:rPr>
      <w:noProof/>
    </w:rPr>
  </w:style>
  <w:style w:type="paragraph" w:customStyle="1" w:styleId="EndNoteBibliography">
    <w:name w:val="EndNote Bibliography"/>
    <w:basedOn w:val="Normal"/>
    <w:link w:val="EndNoteBibliographyChar"/>
    <w:rsid w:val="008969DE"/>
    <w:pPr>
      <w:jc w:val="both"/>
    </w:pPr>
    <w:rPr>
      <w:noProof/>
    </w:rPr>
  </w:style>
  <w:style w:type="character" w:customStyle="1" w:styleId="EndNoteBibliographyChar">
    <w:name w:val="EndNote Bibliography Char"/>
    <w:basedOn w:val="DefaultParagraphFont"/>
    <w:link w:val="EndNoteBibliography"/>
    <w:rsid w:val="008969D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UF</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McIntyre, Lauren M</dc:creator>
  <cp:lastModifiedBy>Sarah Bay</cp:lastModifiedBy>
  <cp:revision>2</cp:revision>
  <dcterms:created xsi:type="dcterms:W3CDTF">2018-06-12T21:03:00Z</dcterms:created>
  <dcterms:modified xsi:type="dcterms:W3CDTF">2018-06-12T21:03:00Z</dcterms:modified>
  <dc:language>en-US</dc:language>
</cp:coreProperties>
</file>