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EE8F91" w14:textId="77777777" w:rsidR="001A43D4" w:rsidRPr="008F5E4B" w:rsidRDefault="007C66FC" w:rsidP="00017223">
      <w:pPr>
        <w:spacing w:before="29" w:after="158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F5E4B">
        <w:rPr>
          <w:rFonts w:ascii="Times New Roman" w:hAnsi="Times New Roman" w:cs="Times New Roman"/>
          <w:b/>
          <w:bCs/>
          <w:sz w:val="24"/>
          <w:szCs w:val="24"/>
        </w:rPr>
        <w:t>Summary:</w:t>
      </w:r>
    </w:p>
    <w:p w14:paraId="1E067D41" w14:textId="77777777" w:rsidR="001A43D4" w:rsidRPr="008F5E4B" w:rsidRDefault="007C66FC" w:rsidP="00017223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5E4B">
        <w:rPr>
          <w:rFonts w:ascii="Times New Roman" w:eastAsia="Liberation Serif" w:hAnsi="Times New Roman" w:cs="Times New Roman"/>
          <w:b/>
          <w:bCs/>
          <w:sz w:val="24"/>
          <w:szCs w:val="24"/>
        </w:rPr>
        <w:t xml:space="preserve">Validation of </w:t>
      </w:r>
      <w:proofErr w:type="spellStart"/>
      <w:r w:rsidRPr="008F5E4B">
        <w:rPr>
          <w:rFonts w:ascii="Times New Roman" w:eastAsia="Liberation Serif" w:hAnsi="Times New Roman" w:cs="Times New Roman"/>
          <w:b/>
          <w:bCs/>
          <w:sz w:val="24"/>
          <w:szCs w:val="24"/>
        </w:rPr>
        <w:t>iReckon</w:t>
      </w:r>
      <w:proofErr w:type="spellEnd"/>
      <w:r w:rsidRPr="008F5E4B">
        <w:rPr>
          <w:rFonts w:ascii="Times New Roman" w:eastAsia="Liberation Serif" w:hAnsi="Times New Roman" w:cs="Times New Roman"/>
          <w:b/>
          <w:bCs/>
          <w:sz w:val="24"/>
          <w:szCs w:val="24"/>
        </w:rPr>
        <w:t>-assembled transcripts with PacBio sequenced transcriptomes</w:t>
      </w:r>
    </w:p>
    <w:p w14:paraId="79FFD657" w14:textId="77777777" w:rsidR="001A43D4" w:rsidRPr="008F5E4B" w:rsidRDefault="007C66FC" w:rsidP="00017223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5E4B">
        <w:rPr>
          <w:rFonts w:ascii="Times New Roman" w:eastAsia="Liberation Serif" w:hAnsi="Times New Roman" w:cs="Times New Roman"/>
          <w:b/>
          <w:bCs/>
          <w:sz w:val="24"/>
          <w:szCs w:val="24"/>
        </w:rPr>
        <w:t>Method:</w:t>
      </w:r>
      <w:bookmarkStart w:id="0" w:name="_GoBack"/>
      <w:bookmarkEnd w:id="0"/>
    </w:p>
    <w:p w14:paraId="66CEBC7E" w14:textId="63F86BA1" w:rsidR="001A43D4" w:rsidRPr="008F5E4B" w:rsidRDefault="007C66FC" w:rsidP="00017223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5E4B">
        <w:rPr>
          <w:rFonts w:ascii="Times New Roman" w:hAnsi="Times New Roman" w:cs="Times New Roman"/>
          <w:color w:val="000000"/>
          <w:sz w:val="24"/>
          <w:szCs w:val="24"/>
        </w:rPr>
        <w:t xml:space="preserve">To determine how well </w:t>
      </w:r>
      <w:proofErr w:type="spellStart"/>
      <w:r w:rsidRPr="008F5E4B">
        <w:rPr>
          <w:rFonts w:ascii="Times New Roman" w:hAnsi="Times New Roman" w:cs="Times New Roman"/>
          <w:color w:val="000000"/>
          <w:sz w:val="24"/>
          <w:szCs w:val="24"/>
        </w:rPr>
        <w:t>iReckon</w:t>
      </w:r>
      <w:proofErr w:type="spellEnd"/>
      <w:r w:rsidRPr="008F5E4B">
        <w:rPr>
          <w:rFonts w:ascii="Times New Roman" w:hAnsi="Times New Roman" w:cs="Times New Roman"/>
          <w:color w:val="000000"/>
          <w:sz w:val="24"/>
          <w:szCs w:val="24"/>
        </w:rPr>
        <w:t xml:space="preserve"> reassembles transcripts, the set of transcripts identified using PacBio sequencing </w:t>
      </w:r>
      <w:r w:rsidRPr="008F5E4B">
        <w:rPr>
          <w:rFonts w:ascii="Times New Roman" w:hAnsi="Times New Roman" w:cs="Times New Roman"/>
          <w:sz w:val="24"/>
          <w:szCs w:val="24"/>
        </w:rPr>
        <w:fldChar w:fldCharType="begin"/>
      </w:r>
      <w:r w:rsidRPr="008F5E4B">
        <w:rPr>
          <w:rFonts w:ascii="Times New Roman" w:hAnsi="Times New Roman" w:cs="Times New Roman"/>
          <w:sz w:val="24"/>
          <w:szCs w:val="24"/>
        </w:rPr>
        <w:instrText>ADDIN EN.CITE &lt;EndNote&gt;&lt;Cite&gt;&lt;Author&gt;Tardaguila&lt;/Author&gt;&lt;Year&gt;2017&lt;/Year&gt;&lt;IDText&gt;SQANTI: extensive characterization of long read transcript sequences for quality control in full-length transcriptome identification and quantification&lt;/IDText&gt;&lt;DisplayText&gt;[38]&lt;/DisplayText&gt;&lt;record&gt;&lt;titles&gt;&lt;title&gt;SQANTI: extensive characterization of long read transcript sequences for quality control in full-length transcriptome identification and quantification&lt;/title&gt;&lt;secondary-title&gt;bioRxiv&lt;/secondary-title&gt;&lt;/titles&gt;&lt;contributors&gt;&lt;authors&gt;&lt;author&gt;Tardaguila, Manuel&lt;/author&gt;&lt;author&gt;de la Fuente, Lorena&lt;/author&gt;&lt;author&gt;Marti, Cristina&lt;/author&gt;&lt;author&gt;Pereira, Cecile&lt;/author&gt;&lt;author&gt;del Risco, Hector&lt;/author&gt;&lt;author&gt;Ferrell, Marc&lt;/author&gt;&lt;author&gt;Mellado, Maravillas&lt;/author&gt;&lt;author&gt;Macchietto, Marissa&lt;/author&gt;&lt;author&gt;Verheggen, Kenneth&lt;/author&gt;&lt;author&gt;Edelmann, Mariola&lt;/author&gt;&lt;author&gt;Ezkurdia, Iakes&lt;/author&gt;&lt;author&gt;Vazquez, Jesus&lt;/author&gt;&lt;author&gt;Tress, Michael&lt;/author&gt;&lt;author&gt;Mortazavi, Ali&lt;/author&gt;&lt;author&gt;Martens, Lennart&lt;/author&gt;&lt;author&gt;Rodriguez-Navarro, Susana&lt;/author&gt;&lt;author&gt;Moreno, Victoria&lt;/author&gt;&lt;author&gt;Conesa, Ana&lt;/author&gt;&lt;/authors&gt;&lt;/contributors&gt;&lt;added-date format="utc"&gt;1499893715&lt;/added-date&gt;&lt;ref-type name="Electronic Article"&gt;43&lt;/ref-type&gt;&lt;dates&gt;&lt;year&gt;2017&lt;/year&gt;&lt;/dates&gt;&lt;rec-number&gt;708&lt;/rec-number&gt;&lt;last-updated-date format="utc"&gt;1499893816&lt;/last-updated-date&gt;&lt;electronic-resource-num&gt;https://doi.org/10.1101/118083&lt;/electronic-resource-num&gt;&lt;volume&gt;http://www.biorxiv.org/content/early/2017/03/18/118083&lt;/volume&gt;&lt;/record&gt;&lt;/Cite&gt;&lt;/EndNote&gt;</w:instrText>
      </w:r>
      <w:r w:rsidRPr="008F5E4B">
        <w:rPr>
          <w:rFonts w:ascii="Times New Roman" w:hAnsi="Times New Roman" w:cs="Times New Roman"/>
          <w:sz w:val="24"/>
          <w:szCs w:val="24"/>
        </w:rPr>
        <w:fldChar w:fldCharType="separate"/>
      </w:r>
      <w:bookmarkStart w:id="1" w:name="__Fieldmark__19730_1869813700"/>
      <w:r w:rsidRPr="008F5E4B">
        <w:rPr>
          <w:rFonts w:ascii="Times New Roman" w:hAnsi="Times New Roman" w:cs="Times New Roman"/>
          <w:color w:val="000000"/>
          <w:sz w:val="24"/>
          <w:szCs w:val="24"/>
        </w:rPr>
        <w:t>[38]</w:t>
      </w:r>
      <w:r w:rsidRPr="008F5E4B">
        <w:rPr>
          <w:rFonts w:ascii="Times New Roman" w:hAnsi="Times New Roman" w:cs="Times New Roman"/>
          <w:sz w:val="24"/>
          <w:szCs w:val="24"/>
        </w:rPr>
        <w:fldChar w:fldCharType="end"/>
      </w:r>
      <w:bookmarkEnd w:id="1"/>
      <w:r w:rsidRPr="008F5E4B">
        <w:rPr>
          <w:rFonts w:ascii="Times New Roman" w:hAnsi="Times New Roman" w:cs="Times New Roman"/>
          <w:color w:val="000000"/>
          <w:sz w:val="24"/>
          <w:szCs w:val="24"/>
        </w:rPr>
        <w:t xml:space="preserve"> is used for validation. Sequences for each </w:t>
      </w:r>
      <w:proofErr w:type="spellStart"/>
      <w:r w:rsidRPr="008F5E4B">
        <w:rPr>
          <w:rFonts w:ascii="Times New Roman" w:hAnsi="Times New Roman" w:cs="Times New Roman"/>
          <w:color w:val="000000"/>
          <w:sz w:val="24"/>
          <w:szCs w:val="24"/>
        </w:rPr>
        <w:t>iReckon</w:t>
      </w:r>
      <w:proofErr w:type="spellEnd"/>
      <w:r w:rsidRPr="008F5E4B">
        <w:rPr>
          <w:rFonts w:ascii="Times New Roman" w:hAnsi="Times New Roman" w:cs="Times New Roman"/>
          <w:color w:val="000000"/>
          <w:sz w:val="24"/>
          <w:szCs w:val="24"/>
        </w:rPr>
        <w:t xml:space="preserve"> transcript for each NPC replicate were extracted using </w:t>
      </w:r>
      <w:proofErr w:type="spellStart"/>
      <w:r w:rsidRPr="008F5E4B">
        <w:rPr>
          <w:rFonts w:ascii="Times New Roman" w:hAnsi="Times New Roman" w:cs="Times New Roman"/>
          <w:color w:val="000000"/>
          <w:sz w:val="24"/>
          <w:szCs w:val="24"/>
        </w:rPr>
        <w:t>BEDtools</w:t>
      </w:r>
      <w:proofErr w:type="spellEnd"/>
      <w:r w:rsidRPr="008F5E4B">
        <w:rPr>
          <w:rFonts w:ascii="Times New Roman" w:hAnsi="Times New Roman" w:cs="Times New Roman"/>
          <w:color w:val="000000"/>
          <w:sz w:val="24"/>
          <w:szCs w:val="24"/>
        </w:rPr>
        <w:t xml:space="preserve"> (version 2.17.0; </w:t>
      </w:r>
      <w:r w:rsidR="002173A2">
        <w:rPr>
          <w:rFonts w:ascii="Times New Roman" w:hAnsi="Times New Roman" w:cs="Times New Roman"/>
          <w:color w:val="000000"/>
          <w:sz w:val="24"/>
          <w:szCs w:val="24"/>
        </w:rPr>
        <w:fldChar w:fldCharType="begin"/>
      </w:r>
      <w:r w:rsidR="002173A2">
        <w:rPr>
          <w:rFonts w:ascii="Times New Roman" w:hAnsi="Times New Roman" w:cs="Times New Roman"/>
          <w:color w:val="000000"/>
          <w:sz w:val="24"/>
          <w:szCs w:val="24"/>
        </w:rPr>
        <w:instrText xml:space="preserve"> ADDIN EN.CITE &lt;EndNote&gt;&lt;Cite&gt;&lt;Author&gt;Quinlan&lt;/Author&gt;&lt;Year&gt;2010&lt;/Year&gt;&lt;IDText&gt;BEDTools: a flexible suite of utilities for comparing genomic features&lt;/IDText&gt;&lt;DisplayText&gt;[1]&lt;/DisplayText&gt;&lt;record&gt;&lt;dates&gt;&lt;pub-dates&gt;&lt;date&gt;Mar&lt;/date&gt;&lt;/pub-dates&gt;&lt;year&gt;2010&lt;/year&gt;&lt;/dates&gt;&lt;urls&gt;&lt;related-urls&gt;&lt;url&gt;&amp;lt;Go to ISI&amp;gt;://WOS:000275243500019&lt;/url&gt;&lt;/related-urls&gt;&lt;/urls&gt;&lt;isbn&gt;1367-4803&lt;/isbn&gt;&lt;titles&gt;&lt;title&gt;BEDTools: a flexible suite of utilities for comparing genomic features&lt;/title&gt;&lt;secondary-title&gt;Bioinformatics&lt;/secondary-title&gt;&lt;/titles&gt;&lt;pages&gt;841-842&lt;/pages&gt;&lt;number&gt;6&lt;/number&gt;&lt;contributors&gt;&lt;authors&gt;&lt;author&gt;Quinlan, A. R.&lt;/author&gt;&lt;author&gt;Hall, I. M.&lt;/author&gt;&lt;/authors&gt;&lt;/contributors&gt;&lt;added-date format="utc"&gt;1524602190&lt;/added-date&gt;&lt;ref-type name="Journal Article"&gt;17&lt;/ref-type&gt;&lt;rec-number&gt;857&lt;/rec-number&gt;&lt;last-updated-date format="utc"&gt;1524602190&lt;/last-updated-date&gt;&lt;accession-num&gt;WOS:000275243500019&lt;/accession-num&gt;&lt;electronic-resource-num&gt;10.1093/bioinformatics/btq033&lt;/electronic-resource-num&gt;&lt;volume&gt;26&lt;/volume&gt;&lt;/record&gt;&lt;/Cite&gt;&lt;/EndNote&gt;</w:instrText>
      </w:r>
      <w:r w:rsidR="002173A2">
        <w:rPr>
          <w:rFonts w:ascii="Times New Roman" w:hAnsi="Times New Roman" w:cs="Times New Roman"/>
          <w:color w:val="000000"/>
          <w:sz w:val="24"/>
          <w:szCs w:val="24"/>
        </w:rPr>
        <w:fldChar w:fldCharType="separate"/>
      </w:r>
      <w:r w:rsidR="002173A2">
        <w:rPr>
          <w:rFonts w:ascii="Times New Roman" w:hAnsi="Times New Roman" w:cs="Times New Roman"/>
          <w:noProof/>
          <w:color w:val="000000"/>
          <w:sz w:val="24"/>
          <w:szCs w:val="24"/>
        </w:rPr>
        <w:t>[1]</w:t>
      </w:r>
      <w:r w:rsidR="002173A2">
        <w:rPr>
          <w:rFonts w:ascii="Times New Roman" w:hAnsi="Times New Roman" w:cs="Times New Roman"/>
          <w:color w:val="000000"/>
          <w:sz w:val="24"/>
          <w:szCs w:val="24"/>
        </w:rPr>
        <w:fldChar w:fldCharType="end"/>
      </w:r>
      <w:r w:rsidRPr="008F5E4B">
        <w:rPr>
          <w:rFonts w:ascii="Times New Roman" w:hAnsi="Times New Roman" w:cs="Times New Roman"/>
          <w:color w:val="000000"/>
          <w:sz w:val="24"/>
          <w:szCs w:val="24"/>
        </w:rPr>
        <w:t>) from the output GTF files and compared to the complete set of PacBio transcript sequences using th</w:t>
      </w:r>
      <w:r w:rsidRPr="008F5E4B">
        <w:rPr>
          <w:rFonts w:ascii="Times New Roman" w:hAnsi="Times New Roman" w:cs="Times New Roman"/>
          <w:sz w:val="24"/>
          <w:szCs w:val="24"/>
        </w:rPr>
        <w:t xml:space="preserve">e </w:t>
      </w:r>
      <w:proofErr w:type="spellStart"/>
      <w:r w:rsidRPr="008F5E4B">
        <w:rPr>
          <w:rFonts w:ascii="Times New Roman" w:hAnsi="Times New Roman" w:cs="Times New Roman"/>
          <w:sz w:val="24"/>
          <w:szCs w:val="24"/>
        </w:rPr>
        <w:t>MegaBLAST</w:t>
      </w:r>
      <w:proofErr w:type="spellEnd"/>
      <w:r w:rsidRPr="008F5E4B">
        <w:rPr>
          <w:rFonts w:ascii="Times New Roman" w:hAnsi="Times New Roman" w:cs="Times New Roman"/>
          <w:sz w:val="24"/>
          <w:szCs w:val="24"/>
        </w:rPr>
        <w:t xml:space="preserve"> algorithm </w:t>
      </w:r>
      <w:r w:rsidRPr="008F5E4B">
        <w:rPr>
          <w:rFonts w:ascii="Times New Roman" w:hAnsi="Times New Roman" w:cs="Times New Roman"/>
          <w:sz w:val="24"/>
          <w:szCs w:val="24"/>
        </w:rPr>
        <w:fldChar w:fldCharType="begin"/>
      </w:r>
      <w:r w:rsidRPr="008F5E4B">
        <w:rPr>
          <w:rFonts w:ascii="Times New Roman" w:hAnsi="Times New Roman" w:cs="Times New Roman"/>
          <w:sz w:val="24"/>
          <w:szCs w:val="24"/>
        </w:rPr>
        <w:instrText>ADDIN EN.CITE &lt;EndNote&gt;&lt;Cite&gt;&lt;Author&gt;Camacho&lt;/Author&gt;&lt;Year&gt;2009&lt;/Year&gt;&lt;IDText&gt;BLAST plus : architecture and applications&lt;/IDText&gt;&lt;DisplayText&gt;[55]&lt;/DisplayText&gt;&lt;record&gt;&lt;dates&gt;&lt;pub-dates&gt;&lt;date&gt;Dec&lt;/date&gt;&lt;/pub-dates&gt;&lt;year&gt;2009&lt;/year&gt;&lt;/dates&gt;&lt;urls&gt;&lt;related-urls&gt;&lt;url&gt;&amp;lt;Go to ISI&amp;gt;://WOS:000273534300001&lt;/url&gt;&lt;/related-urls&gt;&lt;/urls&gt;&lt;isbn&gt;1471-2105&lt;/isbn&gt;&lt;titles&gt;&lt;title&gt;BLAST plus : architecture and applications&lt;/title&gt;&lt;secondary-title&gt;Bmc Bioinformatics&lt;/secondary-title&gt;&lt;/titles&gt;&lt;contributors&gt;&lt;authors&gt;&lt;author&gt;Camacho, C.&lt;/author&gt;&lt;author&gt;Coulouris, G.&lt;/author&gt;&lt;author&gt;Avagyan, V.&lt;/author&gt;&lt;author&gt;Ma, N.&lt;/author&gt;&lt;author&gt;Papadopoulos, J.&lt;/author&gt;&lt;author&gt;Bealer, K.&lt;/author&gt;&lt;author&gt;Madden, T. L.&lt;/author&gt;&lt;/authors&gt;&lt;/contributors&gt;&lt;custom7&gt;421&lt;/custom7&gt;&lt;added-date format="utc"&gt;1499460244&lt;/added-date&gt;&lt;ref-type name="Journal Article"&gt;17&lt;/ref-type&gt;&lt;rec-number&gt;652&lt;/rec-number&gt;&lt;last-updated-date format="utc"&gt;1499460244&lt;/last-updated-date&gt;&lt;accession-num&gt;WOS:000273534300001&lt;/accession-num&gt;&lt;electronic-resource-num&gt;10.1186/1471-2105-10-421&lt;/electronic-resource-num&gt;&lt;volume&gt;10&lt;/volume&gt;&lt;/record&gt;&lt;/Cite&gt;&lt;/EndNote&gt;</w:instrText>
      </w:r>
      <w:r w:rsidRPr="008F5E4B">
        <w:rPr>
          <w:rFonts w:ascii="Times New Roman" w:hAnsi="Times New Roman" w:cs="Times New Roman"/>
          <w:sz w:val="24"/>
          <w:szCs w:val="24"/>
        </w:rPr>
        <w:fldChar w:fldCharType="separate"/>
      </w:r>
      <w:bookmarkStart w:id="2" w:name="__Fieldmark__19739_1869813700"/>
      <w:r w:rsidRPr="008F5E4B">
        <w:rPr>
          <w:rFonts w:ascii="Times New Roman" w:hAnsi="Times New Roman" w:cs="Times New Roman"/>
          <w:sz w:val="24"/>
          <w:szCs w:val="24"/>
        </w:rPr>
        <w:t>[55]</w:t>
      </w:r>
      <w:r w:rsidRPr="008F5E4B">
        <w:rPr>
          <w:rFonts w:ascii="Times New Roman" w:hAnsi="Times New Roman" w:cs="Times New Roman"/>
          <w:sz w:val="24"/>
          <w:szCs w:val="24"/>
        </w:rPr>
        <w:fldChar w:fldCharType="end"/>
      </w:r>
      <w:bookmarkEnd w:id="2"/>
      <w:r w:rsidRPr="008F5E4B">
        <w:rPr>
          <w:rFonts w:ascii="Times New Roman" w:hAnsi="Times New Roman" w:cs="Times New Roman"/>
          <w:sz w:val="24"/>
          <w:szCs w:val="24"/>
        </w:rPr>
        <w:t xml:space="preserve">. BLAST alignments were classified based on the length of the BLAST hit (100% of the </w:t>
      </w:r>
      <w:proofErr w:type="spellStart"/>
      <w:r w:rsidRPr="008F5E4B">
        <w:rPr>
          <w:rFonts w:ascii="Times New Roman" w:hAnsi="Times New Roman" w:cs="Times New Roman"/>
          <w:sz w:val="24"/>
          <w:szCs w:val="24"/>
        </w:rPr>
        <w:t>iReckon</w:t>
      </w:r>
      <w:proofErr w:type="spellEnd"/>
      <w:r w:rsidRPr="008F5E4B">
        <w:rPr>
          <w:rFonts w:ascii="Times New Roman" w:hAnsi="Times New Roman" w:cs="Times New Roman"/>
          <w:sz w:val="24"/>
          <w:szCs w:val="24"/>
        </w:rPr>
        <w:t xml:space="preserve"> transcript sequence matches a PacBio transcript, no more than 10bp different in length between </w:t>
      </w:r>
      <w:proofErr w:type="spellStart"/>
      <w:r w:rsidRPr="008F5E4B">
        <w:rPr>
          <w:rFonts w:ascii="Times New Roman" w:hAnsi="Times New Roman" w:cs="Times New Roman"/>
          <w:sz w:val="24"/>
          <w:szCs w:val="24"/>
        </w:rPr>
        <w:t>iReckon</w:t>
      </w:r>
      <w:proofErr w:type="spellEnd"/>
      <w:r w:rsidRPr="008F5E4B">
        <w:rPr>
          <w:rFonts w:ascii="Times New Roman" w:hAnsi="Times New Roman" w:cs="Times New Roman"/>
          <w:sz w:val="24"/>
          <w:szCs w:val="24"/>
        </w:rPr>
        <w:t xml:space="preserve"> and PacBio transcripts, at least 90% of the </w:t>
      </w:r>
      <w:proofErr w:type="spellStart"/>
      <w:r w:rsidRPr="008F5E4B">
        <w:rPr>
          <w:rFonts w:ascii="Times New Roman" w:hAnsi="Times New Roman" w:cs="Times New Roman"/>
          <w:sz w:val="24"/>
          <w:szCs w:val="24"/>
        </w:rPr>
        <w:t>iReckon</w:t>
      </w:r>
      <w:proofErr w:type="spellEnd"/>
      <w:r w:rsidRPr="008F5E4B">
        <w:rPr>
          <w:rFonts w:ascii="Times New Roman" w:hAnsi="Times New Roman" w:cs="Times New Roman"/>
          <w:sz w:val="24"/>
          <w:szCs w:val="24"/>
        </w:rPr>
        <w:t xml:space="preserve"> transcript sequence matches a PacBio transcript, at least 75% of the </w:t>
      </w:r>
      <w:proofErr w:type="spellStart"/>
      <w:r w:rsidRPr="008F5E4B">
        <w:rPr>
          <w:rFonts w:ascii="Times New Roman" w:hAnsi="Times New Roman" w:cs="Times New Roman"/>
          <w:sz w:val="24"/>
          <w:szCs w:val="24"/>
        </w:rPr>
        <w:t>iReckon</w:t>
      </w:r>
      <w:proofErr w:type="spellEnd"/>
      <w:r w:rsidRPr="008F5E4B">
        <w:rPr>
          <w:rFonts w:ascii="Times New Roman" w:hAnsi="Times New Roman" w:cs="Times New Roman"/>
          <w:sz w:val="24"/>
          <w:szCs w:val="24"/>
        </w:rPr>
        <w:t xml:space="preserve"> transcript sequence matches a PacBio transcript, at least 50% of the </w:t>
      </w:r>
      <w:proofErr w:type="spellStart"/>
      <w:r w:rsidRPr="008F5E4B">
        <w:rPr>
          <w:rFonts w:ascii="Times New Roman" w:hAnsi="Times New Roman" w:cs="Times New Roman"/>
          <w:sz w:val="24"/>
          <w:szCs w:val="24"/>
        </w:rPr>
        <w:t>iReckon</w:t>
      </w:r>
      <w:proofErr w:type="spellEnd"/>
      <w:r w:rsidRPr="008F5E4B">
        <w:rPr>
          <w:rFonts w:ascii="Times New Roman" w:hAnsi="Times New Roman" w:cs="Times New Roman"/>
          <w:sz w:val="24"/>
          <w:szCs w:val="24"/>
        </w:rPr>
        <w:t xml:space="preserve"> transcript sequence matches a PacBio transcript), and whether there are no mismatches or no more than 5 mismatches nucleotides. </w:t>
      </w:r>
      <w:proofErr w:type="spellStart"/>
      <w:r w:rsidRPr="008F5E4B">
        <w:rPr>
          <w:rFonts w:ascii="Times New Roman" w:hAnsi="Times New Roman" w:cs="Times New Roman"/>
          <w:sz w:val="24"/>
          <w:szCs w:val="24"/>
        </w:rPr>
        <w:t>iReckon</w:t>
      </w:r>
      <w:proofErr w:type="spellEnd"/>
      <w:r w:rsidRPr="008F5E4B">
        <w:rPr>
          <w:rFonts w:ascii="Times New Roman" w:hAnsi="Times New Roman" w:cs="Times New Roman"/>
          <w:sz w:val="24"/>
          <w:szCs w:val="24"/>
        </w:rPr>
        <w:t xml:space="preserve"> transcripts with gaps or multiple, fragmented hits to the same PacBio transcript were excluded.</w:t>
      </w:r>
    </w:p>
    <w:p w14:paraId="24221567" w14:textId="77777777" w:rsidR="001A43D4" w:rsidRPr="008F5E4B" w:rsidRDefault="001A43D4" w:rsidP="00017223">
      <w:pPr>
        <w:shd w:val="clear" w:color="auto" w:fill="FFFFFF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9BCBE9" w14:textId="77777777" w:rsidR="001A43D4" w:rsidRPr="008F5E4B" w:rsidRDefault="007C66FC" w:rsidP="00017223">
      <w:pPr>
        <w:shd w:val="clear" w:color="auto" w:fill="FFFFFF"/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5E4B">
        <w:rPr>
          <w:rFonts w:ascii="Times New Roman" w:hAnsi="Times New Roman" w:cs="Times New Roman"/>
          <w:b/>
          <w:bCs/>
          <w:sz w:val="24"/>
          <w:szCs w:val="24"/>
        </w:rPr>
        <w:t>Results summary:</w:t>
      </w:r>
    </w:p>
    <w:p w14:paraId="55EA8C06" w14:textId="408EC409" w:rsidR="001A43D4" w:rsidRPr="008F5E4B" w:rsidRDefault="007C66FC" w:rsidP="00017223">
      <w:pPr>
        <w:shd w:val="clear" w:color="auto" w:fill="FFFFFF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E4B">
        <w:rPr>
          <w:rFonts w:ascii="Times New Roman" w:hAnsi="Times New Roman" w:cs="Times New Roman"/>
          <w:sz w:val="24"/>
          <w:szCs w:val="24"/>
        </w:rPr>
        <w:t xml:space="preserve">We find that relatively few of the 5,880 PacBio transcripts (401-562 transcripts, 7-10%) match to the </w:t>
      </w:r>
      <w:proofErr w:type="spellStart"/>
      <w:r w:rsidRPr="008F5E4B">
        <w:rPr>
          <w:rFonts w:ascii="Times New Roman" w:hAnsi="Times New Roman" w:cs="Times New Roman"/>
          <w:sz w:val="24"/>
          <w:szCs w:val="24"/>
        </w:rPr>
        <w:t>iReckon</w:t>
      </w:r>
      <w:proofErr w:type="spellEnd"/>
      <w:r w:rsidRPr="008F5E4B">
        <w:rPr>
          <w:rFonts w:ascii="Times New Roman" w:hAnsi="Times New Roman" w:cs="Times New Roman"/>
          <w:sz w:val="24"/>
          <w:szCs w:val="24"/>
        </w:rPr>
        <w:t xml:space="preserve">-assembled transcriptome (Table </w:t>
      </w:r>
      <w:r w:rsidR="000144E9">
        <w:rPr>
          <w:rFonts w:ascii="Times New Roman" w:hAnsi="Times New Roman" w:cs="Times New Roman"/>
          <w:sz w:val="24"/>
          <w:szCs w:val="24"/>
        </w:rPr>
        <w:t>S4.</w:t>
      </w:r>
      <w:r w:rsidRPr="008F5E4B">
        <w:rPr>
          <w:rFonts w:ascii="Times New Roman" w:hAnsi="Times New Roman" w:cs="Times New Roman"/>
          <w:sz w:val="24"/>
          <w:szCs w:val="24"/>
        </w:rPr>
        <w:t xml:space="preserve">1), and many of </w:t>
      </w:r>
      <w:r w:rsidR="009A5901" w:rsidRPr="008F5E4B">
        <w:rPr>
          <w:rFonts w:ascii="Times New Roman" w:hAnsi="Times New Roman" w:cs="Times New Roman"/>
          <w:sz w:val="24"/>
          <w:szCs w:val="24"/>
        </w:rPr>
        <w:t xml:space="preserve">those </w:t>
      </w:r>
      <w:r w:rsidR="000B08BC" w:rsidRPr="008F5E4B">
        <w:rPr>
          <w:rFonts w:ascii="Times New Roman" w:hAnsi="Times New Roman" w:cs="Times New Roman"/>
          <w:sz w:val="24"/>
          <w:szCs w:val="24"/>
        </w:rPr>
        <w:t xml:space="preserve">identified are </w:t>
      </w:r>
      <w:r w:rsidRPr="008F5E4B">
        <w:rPr>
          <w:rFonts w:ascii="Times New Roman" w:hAnsi="Times New Roman" w:cs="Times New Roman"/>
          <w:sz w:val="24"/>
          <w:szCs w:val="24"/>
        </w:rPr>
        <w:t>present in only o</w:t>
      </w:r>
      <w:r w:rsidR="000B08BC" w:rsidRPr="008F5E4B">
        <w:rPr>
          <w:rFonts w:ascii="Times New Roman" w:hAnsi="Times New Roman" w:cs="Times New Roman"/>
          <w:sz w:val="24"/>
          <w:szCs w:val="24"/>
        </w:rPr>
        <w:t>ne of the two NPC replicates. In</w:t>
      </w:r>
      <w:r w:rsidRPr="008F5E4B">
        <w:rPr>
          <w:rFonts w:ascii="Times New Roman" w:hAnsi="Times New Roman" w:cs="Times New Roman"/>
          <w:sz w:val="24"/>
          <w:szCs w:val="24"/>
        </w:rPr>
        <w:t xml:space="preserve"> contrast, Event Analysis is able to identify 5,686 of the 5,880 (97%) PacBio transcripts (at least 75% events detected at an event-detection threshold of APN</w:t>
      </w:r>
      <w:r w:rsidR="000144E9">
        <w:rPr>
          <w:rFonts w:ascii="Times New Roman" w:hAnsi="Times New Roman" w:cs="Times New Roman"/>
          <w:sz w:val="24"/>
          <w:szCs w:val="24"/>
        </w:rPr>
        <w:t xml:space="preserve"> </w:t>
      </w:r>
      <w:r w:rsidRPr="008F5E4B">
        <w:rPr>
          <w:rFonts w:ascii="Times New Roman" w:hAnsi="Times New Roman" w:cs="Times New Roman"/>
          <w:sz w:val="24"/>
          <w:szCs w:val="24"/>
        </w:rPr>
        <w:t>&gt;</w:t>
      </w:r>
      <w:r w:rsidR="000144E9">
        <w:rPr>
          <w:rFonts w:ascii="Times New Roman" w:hAnsi="Times New Roman" w:cs="Times New Roman"/>
          <w:sz w:val="24"/>
          <w:szCs w:val="24"/>
        </w:rPr>
        <w:t xml:space="preserve"> </w:t>
      </w:r>
      <w:r w:rsidRPr="008F5E4B">
        <w:rPr>
          <w:rFonts w:ascii="Times New Roman" w:hAnsi="Times New Roman" w:cs="Times New Roman"/>
          <w:sz w:val="24"/>
          <w:szCs w:val="24"/>
        </w:rPr>
        <w:t xml:space="preserve">0). Even if only </w:t>
      </w:r>
      <w:proofErr w:type="spellStart"/>
      <w:r w:rsidRPr="008F5E4B">
        <w:rPr>
          <w:rFonts w:ascii="Times New Roman" w:hAnsi="Times New Roman" w:cs="Times New Roman"/>
          <w:sz w:val="24"/>
          <w:szCs w:val="24"/>
        </w:rPr>
        <w:t>RefSeq</w:t>
      </w:r>
      <w:proofErr w:type="spellEnd"/>
      <w:r w:rsidRPr="008F5E4B">
        <w:rPr>
          <w:rFonts w:ascii="Times New Roman" w:hAnsi="Times New Roman" w:cs="Times New Roman"/>
          <w:sz w:val="24"/>
          <w:szCs w:val="24"/>
        </w:rPr>
        <w:t xml:space="preserve"> transcripts with 100% of their events detected (APN</w:t>
      </w:r>
      <w:r w:rsidR="000144E9">
        <w:rPr>
          <w:rFonts w:ascii="Times New Roman" w:hAnsi="Times New Roman" w:cs="Times New Roman"/>
          <w:sz w:val="24"/>
          <w:szCs w:val="24"/>
        </w:rPr>
        <w:t xml:space="preserve"> </w:t>
      </w:r>
      <w:r w:rsidRPr="008F5E4B">
        <w:rPr>
          <w:rFonts w:ascii="Times New Roman" w:hAnsi="Times New Roman" w:cs="Times New Roman"/>
          <w:sz w:val="24"/>
          <w:szCs w:val="24"/>
        </w:rPr>
        <w:t>&gt;</w:t>
      </w:r>
      <w:r w:rsidR="000144E9">
        <w:rPr>
          <w:rFonts w:ascii="Times New Roman" w:hAnsi="Times New Roman" w:cs="Times New Roman"/>
          <w:sz w:val="24"/>
          <w:szCs w:val="24"/>
        </w:rPr>
        <w:t xml:space="preserve"> </w:t>
      </w:r>
      <w:r w:rsidRPr="008F5E4B">
        <w:rPr>
          <w:rFonts w:ascii="Times New Roman" w:hAnsi="Times New Roman" w:cs="Times New Roman"/>
          <w:sz w:val="24"/>
          <w:szCs w:val="24"/>
        </w:rPr>
        <w:t xml:space="preserve">0) are considered, 77% of the PacBio transcriptome is identified using Event Analysis, substantially higher than that assembled with </w:t>
      </w:r>
      <w:proofErr w:type="spellStart"/>
      <w:r w:rsidRPr="008F5E4B">
        <w:rPr>
          <w:rFonts w:ascii="Times New Roman" w:hAnsi="Times New Roman" w:cs="Times New Roman"/>
          <w:sz w:val="24"/>
          <w:szCs w:val="24"/>
        </w:rPr>
        <w:t>iReckon</w:t>
      </w:r>
      <w:proofErr w:type="spellEnd"/>
      <w:r w:rsidRPr="008F5E4B">
        <w:rPr>
          <w:rFonts w:ascii="Times New Roman" w:hAnsi="Times New Roman" w:cs="Times New Roman"/>
          <w:sz w:val="24"/>
          <w:szCs w:val="24"/>
        </w:rPr>
        <w:t xml:space="preserve"> (Table </w:t>
      </w:r>
      <w:r w:rsidR="000144E9">
        <w:rPr>
          <w:rFonts w:ascii="Times New Roman" w:hAnsi="Times New Roman" w:cs="Times New Roman"/>
          <w:sz w:val="24"/>
          <w:szCs w:val="24"/>
        </w:rPr>
        <w:t>S4.</w:t>
      </w:r>
      <w:r w:rsidRPr="008F5E4B">
        <w:rPr>
          <w:rFonts w:ascii="Times New Roman" w:hAnsi="Times New Roman" w:cs="Times New Roman"/>
          <w:sz w:val="24"/>
          <w:szCs w:val="24"/>
        </w:rPr>
        <w:t>1).</w:t>
      </w:r>
    </w:p>
    <w:p w14:paraId="220AAEFA" w14:textId="43F1C240" w:rsidR="001A43D4" w:rsidRPr="008F5E4B" w:rsidRDefault="007C66FC" w:rsidP="00017223">
      <w:pPr>
        <w:shd w:val="clear" w:color="auto" w:fill="FFFFFF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E4B">
        <w:rPr>
          <w:rFonts w:ascii="Times New Roman" w:hAnsi="Times New Roman" w:cs="Times New Roman"/>
          <w:sz w:val="24"/>
          <w:szCs w:val="24"/>
        </w:rPr>
        <w:t xml:space="preserve">When comparing the number of </w:t>
      </w:r>
      <w:proofErr w:type="spellStart"/>
      <w:r w:rsidRPr="008F5E4B">
        <w:rPr>
          <w:rFonts w:ascii="Times New Roman" w:hAnsi="Times New Roman" w:cs="Times New Roman"/>
          <w:sz w:val="24"/>
          <w:szCs w:val="24"/>
        </w:rPr>
        <w:t>iReckon</w:t>
      </w:r>
      <w:proofErr w:type="spellEnd"/>
      <w:r w:rsidRPr="008F5E4B">
        <w:rPr>
          <w:rFonts w:ascii="Times New Roman" w:hAnsi="Times New Roman" w:cs="Times New Roman"/>
          <w:sz w:val="24"/>
          <w:szCs w:val="24"/>
        </w:rPr>
        <w:t xml:space="preserve"> transcripts with PacBio or </w:t>
      </w:r>
      <w:proofErr w:type="spellStart"/>
      <w:r w:rsidRPr="008F5E4B">
        <w:rPr>
          <w:rFonts w:ascii="Times New Roman" w:hAnsi="Times New Roman" w:cs="Times New Roman"/>
          <w:sz w:val="24"/>
          <w:szCs w:val="24"/>
        </w:rPr>
        <w:t>RefSeq</w:t>
      </w:r>
      <w:proofErr w:type="spellEnd"/>
      <w:r w:rsidRPr="008F5E4B">
        <w:rPr>
          <w:rFonts w:ascii="Times New Roman" w:hAnsi="Times New Roman" w:cs="Times New Roman"/>
          <w:sz w:val="24"/>
          <w:szCs w:val="24"/>
        </w:rPr>
        <w:t xml:space="preserve"> hits, we observed that relatively few </w:t>
      </w:r>
      <w:proofErr w:type="spellStart"/>
      <w:r w:rsidRPr="008F5E4B">
        <w:rPr>
          <w:rFonts w:ascii="Times New Roman" w:hAnsi="Times New Roman" w:cs="Times New Roman"/>
          <w:sz w:val="24"/>
          <w:szCs w:val="24"/>
        </w:rPr>
        <w:t>iReckon</w:t>
      </w:r>
      <w:proofErr w:type="spellEnd"/>
      <w:r w:rsidRPr="008F5E4B">
        <w:rPr>
          <w:rFonts w:ascii="Times New Roman" w:hAnsi="Times New Roman" w:cs="Times New Roman"/>
          <w:sz w:val="24"/>
          <w:szCs w:val="24"/>
        </w:rPr>
        <w:t xml:space="preserve"> transcripts matched to PacBio transcripts (13%) or </w:t>
      </w:r>
      <w:proofErr w:type="spellStart"/>
      <w:r w:rsidRPr="008F5E4B">
        <w:rPr>
          <w:rFonts w:ascii="Times New Roman" w:hAnsi="Times New Roman" w:cs="Times New Roman"/>
          <w:sz w:val="24"/>
          <w:szCs w:val="24"/>
        </w:rPr>
        <w:t>RefSeq</w:t>
      </w:r>
      <w:proofErr w:type="spellEnd"/>
      <w:r w:rsidRPr="008F5E4B">
        <w:rPr>
          <w:rFonts w:ascii="Times New Roman" w:hAnsi="Times New Roman" w:cs="Times New Roman"/>
          <w:sz w:val="24"/>
          <w:szCs w:val="24"/>
        </w:rPr>
        <w:t xml:space="preserve"> transcripts (10%) (Table </w:t>
      </w:r>
      <w:r w:rsidR="000144E9">
        <w:rPr>
          <w:rFonts w:ascii="Times New Roman" w:hAnsi="Times New Roman" w:cs="Times New Roman"/>
          <w:sz w:val="24"/>
          <w:szCs w:val="24"/>
        </w:rPr>
        <w:t>S4.</w:t>
      </w:r>
      <w:r w:rsidRPr="008F5E4B">
        <w:rPr>
          <w:rFonts w:ascii="Times New Roman" w:hAnsi="Times New Roman" w:cs="Times New Roman"/>
          <w:sz w:val="24"/>
          <w:szCs w:val="24"/>
        </w:rPr>
        <w:t xml:space="preserve">2). The slightly higher proportion of BLAST hits to the PacBio transcriptome likely reflects 5'- and 3'-UTR length differences between PacBio transcripts and </w:t>
      </w:r>
      <w:proofErr w:type="spellStart"/>
      <w:r w:rsidRPr="008F5E4B">
        <w:rPr>
          <w:rFonts w:ascii="Times New Roman" w:hAnsi="Times New Roman" w:cs="Times New Roman"/>
          <w:sz w:val="24"/>
          <w:szCs w:val="24"/>
        </w:rPr>
        <w:t>RefSeq</w:t>
      </w:r>
      <w:proofErr w:type="spellEnd"/>
      <w:r w:rsidRPr="008F5E4B">
        <w:rPr>
          <w:rFonts w:ascii="Times New Roman" w:hAnsi="Times New Roman" w:cs="Times New Roman"/>
          <w:sz w:val="24"/>
          <w:szCs w:val="24"/>
        </w:rPr>
        <w:t xml:space="preserve"> transcripts in these data, as previously reported</w:t>
      </w:r>
      <w:r w:rsidR="002173A2">
        <w:rPr>
          <w:rFonts w:ascii="Times New Roman" w:hAnsi="Times New Roman" w:cs="Times New Roman"/>
          <w:sz w:val="24"/>
          <w:szCs w:val="24"/>
        </w:rPr>
        <w:t xml:space="preserve"> </w:t>
      </w:r>
      <w:r w:rsidR="002173A2">
        <w:rPr>
          <w:rFonts w:ascii="Times New Roman" w:hAnsi="Times New Roman" w:cs="Times New Roman"/>
          <w:sz w:val="24"/>
          <w:szCs w:val="24"/>
        </w:rPr>
        <w:fldChar w:fldCharType="begin"/>
      </w:r>
      <w:r w:rsidR="002173A2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&lt;EndNote&gt;&lt;Cite&gt;&lt;Author&gt;Tardaguila&lt;/Author&gt;&lt;Year&gt;2018&lt;/Year&gt;&lt;IDText&gt;SQANTI: extensive characterization of long-read transcript sequences for quality control in full-length transcriptome identification and quantification&lt;/IDText&gt;&lt;DisplayText&gt;[2]&lt;/DisplayText&gt;&lt;record&gt;&lt;dates&gt;&lt;pub-dates&gt;&lt;date&gt;Mar&lt;/date&gt;&lt;/pub-dates&gt;&lt;year&gt;2018&lt;/year&gt;&lt;/dates&gt;&lt;urls&gt;&lt;related-urls&gt;&lt;url&gt;&amp;lt;Go to ISI&amp;gt;://WOS:000426355600012&lt;/url&gt;&lt;/related-urls&gt;&lt;/urls&gt;&lt;isbn&gt;1088-9051&lt;/isbn&gt;&lt;titles&gt;&lt;title&gt;SQANTI: extensive characterization of long-read transcript sequences for quality control in full-length transcriptome identification and quantification&lt;/title&gt;&lt;secondary-title&gt;Genome Research&lt;/secondary-title&gt;&lt;/titles&gt;&lt;pages&gt;396-411&lt;/pages&gt;&lt;number&gt;3&lt;/number&gt;&lt;contributors&gt;&lt;authors&gt;&lt;author&gt;Tardaguila, M.&lt;/author&gt;&lt;author&gt;de la Fuente, L.&lt;/author&gt;&lt;author&gt;Marti, C.&lt;/author&gt;&lt;author&gt;Pereira, C.&lt;/author&gt;&lt;author&gt;Pardo-Palacios, F. J.&lt;/author&gt;&lt;author&gt;del Risco, H.&lt;/author&gt;&lt;author&gt;Ferrell, M.&lt;/author&gt;&lt;author&gt;Mellado, M.&lt;/author&gt;&lt;author&gt;Macchietto, M.&lt;/author&gt;&lt;author&gt;Verheggen, K.&lt;/author&gt;&lt;author&gt;Edelmann, M.&lt;/author&gt;&lt;author&gt;Ezkurdia, I.&lt;/author&gt;&lt;author&gt;Vazquez, J.&lt;/author&gt;&lt;author&gt;Tress, M.&lt;/author&gt;&lt;author&gt;Mortazavi, A.&lt;/author&gt;&lt;author&gt;Martens, L.&lt;/author&gt;&lt;author&gt;Rodriguez-Navarro, S.&lt;/author&gt;&lt;author&gt;Moreno-Manzano, V.&lt;/author&gt;&lt;author&gt;Conesa, A.&lt;/author&gt;&lt;/authors&gt;&lt;/contributors&gt;&lt;added-date format="utc"&gt;1524603271&lt;/added-date&gt;&lt;ref-type name="Journal Article"&gt;17&lt;/ref-type&gt;&lt;rec-number&gt;866&lt;/rec-number&gt;&lt;last-updated-date format="utc"&gt;1524603271&lt;/last-updated-date&gt;&lt;accession-num&gt;WOS:000426355600012&lt;/accession-num&gt;&lt;electronic-resource-num&gt;10.1101/gr.222976.117&lt;/electronic-resource-num&gt;&lt;volume&gt;28&lt;/volume&gt;&lt;/record&gt;&lt;/Cite&gt;&lt;/EndNote&gt;</w:instrText>
      </w:r>
      <w:r w:rsidR="002173A2">
        <w:rPr>
          <w:rFonts w:ascii="Times New Roman" w:hAnsi="Times New Roman" w:cs="Times New Roman"/>
          <w:sz w:val="24"/>
          <w:szCs w:val="24"/>
        </w:rPr>
        <w:fldChar w:fldCharType="separate"/>
      </w:r>
      <w:r w:rsidR="002173A2">
        <w:rPr>
          <w:rFonts w:ascii="Times New Roman" w:hAnsi="Times New Roman" w:cs="Times New Roman"/>
          <w:noProof/>
          <w:sz w:val="24"/>
          <w:szCs w:val="24"/>
        </w:rPr>
        <w:t>[2]</w:t>
      </w:r>
      <w:r w:rsidR="002173A2">
        <w:rPr>
          <w:rFonts w:ascii="Times New Roman" w:hAnsi="Times New Roman" w:cs="Times New Roman"/>
          <w:sz w:val="24"/>
          <w:szCs w:val="24"/>
        </w:rPr>
        <w:fldChar w:fldCharType="end"/>
      </w:r>
      <w:r w:rsidRPr="008F5E4B">
        <w:rPr>
          <w:rFonts w:ascii="Times New Roman" w:hAnsi="Times New Roman" w:cs="Times New Roman"/>
          <w:sz w:val="24"/>
          <w:szCs w:val="24"/>
        </w:rPr>
        <w:t xml:space="preserve">. We also find that relatively few </w:t>
      </w:r>
      <w:proofErr w:type="spellStart"/>
      <w:r w:rsidRPr="008F5E4B">
        <w:rPr>
          <w:rFonts w:ascii="Times New Roman" w:hAnsi="Times New Roman" w:cs="Times New Roman"/>
          <w:sz w:val="24"/>
          <w:szCs w:val="24"/>
        </w:rPr>
        <w:t>iReckon</w:t>
      </w:r>
      <w:proofErr w:type="spellEnd"/>
      <w:r w:rsidRPr="008F5E4B">
        <w:rPr>
          <w:rFonts w:ascii="Times New Roman" w:hAnsi="Times New Roman" w:cs="Times New Roman"/>
          <w:sz w:val="24"/>
          <w:szCs w:val="24"/>
        </w:rPr>
        <w:t xml:space="preserve"> transcripts (~5%) are also represented by Event Analysis reduced references (Table </w:t>
      </w:r>
      <w:r w:rsidR="000144E9">
        <w:rPr>
          <w:rFonts w:ascii="Times New Roman" w:hAnsi="Times New Roman" w:cs="Times New Roman"/>
          <w:sz w:val="24"/>
          <w:szCs w:val="24"/>
        </w:rPr>
        <w:t>S4.</w:t>
      </w:r>
      <w:r w:rsidRPr="008F5E4B">
        <w:rPr>
          <w:rFonts w:ascii="Times New Roman" w:hAnsi="Times New Roman" w:cs="Times New Roman"/>
          <w:sz w:val="24"/>
          <w:szCs w:val="24"/>
        </w:rPr>
        <w:t>3).</w:t>
      </w:r>
    </w:p>
    <w:p w14:paraId="0EE77CC6" w14:textId="78805C78" w:rsidR="001A43D4" w:rsidRPr="008F5E4B" w:rsidRDefault="007C66FC" w:rsidP="00017223">
      <w:pPr>
        <w:shd w:val="clear" w:color="auto" w:fill="FFFFFF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E4B">
        <w:rPr>
          <w:rFonts w:ascii="Times New Roman" w:hAnsi="Times New Roman" w:cs="Times New Roman"/>
          <w:sz w:val="24"/>
          <w:szCs w:val="24"/>
        </w:rPr>
        <w:lastRenderedPageBreak/>
        <w:t xml:space="preserve">We </w:t>
      </w:r>
      <w:r w:rsidR="000B08BC" w:rsidRPr="008F5E4B">
        <w:rPr>
          <w:rFonts w:ascii="Times New Roman" w:hAnsi="Times New Roman" w:cs="Times New Roman"/>
          <w:sz w:val="24"/>
          <w:szCs w:val="24"/>
        </w:rPr>
        <w:t>used</w:t>
      </w:r>
      <w:r w:rsidRPr="008F5E4B">
        <w:rPr>
          <w:rFonts w:ascii="Times New Roman" w:hAnsi="Times New Roman" w:cs="Times New Roman"/>
          <w:sz w:val="24"/>
          <w:szCs w:val="24"/>
        </w:rPr>
        <w:t xml:space="preserve"> the 23</w:t>
      </w:r>
      <w:r w:rsidR="000144E9">
        <w:rPr>
          <w:rFonts w:ascii="Times New Roman" w:hAnsi="Times New Roman" w:cs="Times New Roman"/>
          <w:sz w:val="24"/>
          <w:szCs w:val="24"/>
        </w:rPr>
        <w:t>,</w:t>
      </w:r>
      <w:r w:rsidRPr="008F5E4B">
        <w:rPr>
          <w:rFonts w:ascii="Times New Roman" w:hAnsi="Times New Roman" w:cs="Times New Roman"/>
          <w:sz w:val="24"/>
          <w:szCs w:val="24"/>
        </w:rPr>
        <w:t xml:space="preserve">438 distinct </w:t>
      </w:r>
      <w:proofErr w:type="spellStart"/>
      <w:r w:rsidRPr="008F5E4B">
        <w:rPr>
          <w:rFonts w:ascii="Times New Roman" w:hAnsi="Times New Roman" w:cs="Times New Roman"/>
          <w:sz w:val="24"/>
          <w:szCs w:val="24"/>
        </w:rPr>
        <w:t>iReckon</w:t>
      </w:r>
      <w:proofErr w:type="spellEnd"/>
      <w:r w:rsidRPr="008F5E4B">
        <w:rPr>
          <w:rFonts w:ascii="Times New Roman" w:hAnsi="Times New Roman" w:cs="Times New Roman"/>
          <w:sz w:val="24"/>
          <w:szCs w:val="24"/>
        </w:rPr>
        <w:t xml:space="preserve"> transcripts identified from either NPC replicate and classified them on the basis of their identifier assigned by </w:t>
      </w:r>
      <w:proofErr w:type="spellStart"/>
      <w:r w:rsidRPr="008F5E4B">
        <w:rPr>
          <w:rFonts w:ascii="Times New Roman" w:hAnsi="Times New Roman" w:cs="Times New Roman"/>
          <w:sz w:val="24"/>
          <w:szCs w:val="24"/>
        </w:rPr>
        <w:t>iReckon</w:t>
      </w:r>
      <w:proofErr w:type="spellEnd"/>
      <w:r w:rsidRPr="008F5E4B">
        <w:rPr>
          <w:rFonts w:ascii="Times New Roman" w:hAnsi="Times New Roman" w:cs="Times New Roman"/>
          <w:sz w:val="24"/>
          <w:szCs w:val="24"/>
        </w:rPr>
        <w:t xml:space="preserve">: “Known” (i.e. has a </w:t>
      </w:r>
      <w:proofErr w:type="spellStart"/>
      <w:r w:rsidRPr="008F5E4B">
        <w:rPr>
          <w:rFonts w:ascii="Times New Roman" w:hAnsi="Times New Roman" w:cs="Times New Roman"/>
          <w:sz w:val="24"/>
          <w:szCs w:val="24"/>
        </w:rPr>
        <w:t>RefSeq</w:t>
      </w:r>
      <w:proofErr w:type="spellEnd"/>
      <w:r w:rsidRPr="008F5E4B">
        <w:rPr>
          <w:rFonts w:ascii="Times New Roman" w:hAnsi="Times New Roman" w:cs="Times New Roman"/>
          <w:sz w:val="24"/>
          <w:szCs w:val="24"/>
        </w:rPr>
        <w:t xml:space="preserve"> identifier), “Intron Retention” (at least one intron is retained), “Novel” (novel transcript not matching to an annotated transcript), and “</w:t>
      </w:r>
      <w:proofErr w:type="spellStart"/>
      <w:r w:rsidRPr="008F5E4B">
        <w:rPr>
          <w:rFonts w:ascii="Times New Roman" w:hAnsi="Times New Roman" w:cs="Times New Roman"/>
          <w:sz w:val="24"/>
          <w:szCs w:val="24"/>
        </w:rPr>
        <w:t>Unspliced</w:t>
      </w:r>
      <w:proofErr w:type="spellEnd"/>
      <w:r w:rsidRPr="008F5E4B">
        <w:rPr>
          <w:rFonts w:ascii="Times New Roman" w:hAnsi="Times New Roman" w:cs="Times New Roman"/>
          <w:sz w:val="24"/>
          <w:szCs w:val="24"/>
        </w:rPr>
        <w:t xml:space="preserve">” (transcripts where all intervening intron sequences are not spliced out). We found that the majority of </w:t>
      </w:r>
      <w:proofErr w:type="spellStart"/>
      <w:r w:rsidRPr="008F5E4B">
        <w:rPr>
          <w:rFonts w:ascii="Times New Roman" w:hAnsi="Times New Roman" w:cs="Times New Roman"/>
          <w:sz w:val="24"/>
          <w:szCs w:val="24"/>
        </w:rPr>
        <w:t>iReckon</w:t>
      </w:r>
      <w:proofErr w:type="spellEnd"/>
      <w:r w:rsidRPr="008F5E4B">
        <w:rPr>
          <w:rFonts w:ascii="Times New Roman" w:hAnsi="Times New Roman" w:cs="Times New Roman"/>
          <w:sz w:val="24"/>
          <w:szCs w:val="24"/>
        </w:rPr>
        <w:t xml:space="preserve"> transcripts are novel transcripts (60%), novel intron-retaining transcripts (11%), or novel </w:t>
      </w:r>
      <w:proofErr w:type="spellStart"/>
      <w:r w:rsidRPr="008F5E4B">
        <w:rPr>
          <w:rFonts w:ascii="Times New Roman" w:hAnsi="Times New Roman" w:cs="Times New Roman"/>
          <w:sz w:val="24"/>
          <w:szCs w:val="24"/>
        </w:rPr>
        <w:t>unspliced</w:t>
      </w:r>
      <w:proofErr w:type="spellEnd"/>
      <w:r w:rsidRPr="008F5E4B">
        <w:rPr>
          <w:rFonts w:ascii="Times New Roman" w:hAnsi="Times New Roman" w:cs="Times New Roman"/>
          <w:sz w:val="24"/>
          <w:szCs w:val="24"/>
        </w:rPr>
        <w:t xml:space="preserve"> transcripts (22%), with the remainder matching to known </w:t>
      </w:r>
      <w:proofErr w:type="spellStart"/>
      <w:r w:rsidRPr="008F5E4B">
        <w:rPr>
          <w:rFonts w:ascii="Times New Roman" w:hAnsi="Times New Roman" w:cs="Times New Roman"/>
          <w:sz w:val="24"/>
          <w:szCs w:val="24"/>
        </w:rPr>
        <w:t>RefSeq</w:t>
      </w:r>
      <w:proofErr w:type="spellEnd"/>
      <w:r w:rsidRPr="008F5E4B">
        <w:rPr>
          <w:rFonts w:ascii="Times New Roman" w:hAnsi="Times New Roman" w:cs="Times New Roman"/>
          <w:sz w:val="24"/>
          <w:szCs w:val="24"/>
        </w:rPr>
        <w:t xml:space="preserve"> transcripts, with or without intron retention (Table </w:t>
      </w:r>
      <w:r w:rsidR="000144E9">
        <w:rPr>
          <w:rFonts w:ascii="Times New Roman" w:hAnsi="Times New Roman" w:cs="Times New Roman"/>
          <w:sz w:val="24"/>
          <w:szCs w:val="24"/>
        </w:rPr>
        <w:t>S4.</w:t>
      </w:r>
      <w:r w:rsidRPr="008F5E4B">
        <w:rPr>
          <w:rFonts w:ascii="Times New Roman" w:hAnsi="Times New Roman" w:cs="Times New Roman"/>
          <w:sz w:val="24"/>
          <w:szCs w:val="24"/>
        </w:rPr>
        <w:t xml:space="preserve">4). As the set of transcripts present in these samples is known (PacBio transcript), this suggests that </w:t>
      </w:r>
      <w:proofErr w:type="spellStart"/>
      <w:r w:rsidRPr="008F5E4B">
        <w:rPr>
          <w:rFonts w:ascii="Times New Roman" w:hAnsi="Times New Roman" w:cs="Times New Roman"/>
          <w:sz w:val="24"/>
          <w:szCs w:val="24"/>
        </w:rPr>
        <w:t>iReckon</w:t>
      </w:r>
      <w:proofErr w:type="spellEnd"/>
      <w:r w:rsidRPr="008F5E4B">
        <w:rPr>
          <w:rFonts w:ascii="Times New Roman" w:hAnsi="Times New Roman" w:cs="Times New Roman"/>
          <w:sz w:val="24"/>
          <w:szCs w:val="24"/>
        </w:rPr>
        <w:t xml:space="preserve"> has difficulty in accurately reconstructing the transcripts present in these data.</w:t>
      </w:r>
    </w:p>
    <w:p w14:paraId="56F49ED3" w14:textId="77777777" w:rsidR="001A43D4" w:rsidRPr="008F5E4B" w:rsidRDefault="001A43D4" w:rsidP="00017223">
      <w:pPr>
        <w:spacing w:before="29" w:after="158" w:line="36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656E5783" w14:textId="3F7E7F5E" w:rsidR="008F5E4B" w:rsidRPr="008F5E4B" w:rsidRDefault="007C66FC" w:rsidP="002173A2">
      <w:pPr>
        <w:spacing w:before="29" w:after="158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F5E4B">
        <w:rPr>
          <w:rFonts w:ascii="Times New Roman" w:hAnsi="Times New Roman" w:cs="Times New Roman"/>
          <w:b/>
          <w:sz w:val="24"/>
          <w:szCs w:val="24"/>
        </w:rPr>
        <w:t xml:space="preserve">Table </w:t>
      </w:r>
      <w:r w:rsidR="008F5E4B" w:rsidRPr="008F5E4B">
        <w:rPr>
          <w:rFonts w:ascii="Times New Roman" w:hAnsi="Times New Roman" w:cs="Times New Roman"/>
          <w:b/>
          <w:sz w:val="24"/>
          <w:szCs w:val="24"/>
        </w:rPr>
        <w:t>S4.</w:t>
      </w:r>
      <w:r w:rsidR="000144E9">
        <w:rPr>
          <w:rFonts w:ascii="Times New Roman" w:hAnsi="Times New Roman" w:cs="Times New Roman"/>
          <w:b/>
          <w:sz w:val="24"/>
          <w:szCs w:val="24"/>
        </w:rPr>
        <w:t>1</w:t>
      </w:r>
      <w:r w:rsidRPr="008F5E4B">
        <w:rPr>
          <w:rFonts w:ascii="Times New Roman" w:hAnsi="Times New Roman" w:cs="Times New Roman"/>
          <w:b/>
          <w:sz w:val="24"/>
          <w:szCs w:val="24"/>
        </w:rPr>
        <w:t xml:space="preserve">. PacBio transcripts identified by </w:t>
      </w:r>
      <w:proofErr w:type="spellStart"/>
      <w:r w:rsidRPr="008F5E4B">
        <w:rPr>
          <w:rFonts w:ascii="Times New Roman" w:hAnsi="Times New Roman" w:cs="Times New Roman"/>
          <w:b/>
          <w:sz w:val="24"/>
          <w:szCs w:val="24"/>
        </w:rPr>
        <w:t>iReckon</w:t>
      </w:r>
      <w:proofErr w:type="spellEnd"/>
      <w:r w:rsidRPr="008F5E4B">
        <w:rPr>
          <w:rFonts w:ascii="Times New Roman" w:hAnsi="Times New Roman" w:cs="Times New Roman"/>
          <w:b/>
          <w:sz w:val="24"/>
          <w:szCs w:val="24"/>
        </w:rPr>
        <w:t xml:space="preserve"> 5,880 PacBio transcripts that are in </w:t>
      </w:r>
      <w:proofErr w:type="spellStart"/>
      <w:r w:rsidRPr="008F5E4B">
        <w:rPr>
          <w:rFonts w:ascii="Times New Roman" w:hAnsi="Times New Roman" w:cs="Times New Roman"/>
          <w:b/>
          <w:sz w:val="24"/>
          <w:szCs w:val="24"/>
        </w:rPr>
        <w:t>RefSeq</w:t>
      </w:r>
      <w:proofErr w:type="spellEnd"/>
    </w:p>
    <w:p w14:paraId="017DDC9F" w14:textId="73B50476" w:rsidR="001A43D4" w:rsidRPr="008F5E4B" w:rsidRDefault="007C66FC" w:rsidP="002173A2">
      <w:pPr>
        <w:spacing w:before="29" w:after="158" w:line="360" w:lineRule="auto"/>
        <w:rPr>
          <w:rFonts w:ascii="Times New Roman" w:hAnsi="Times New Roman" w:cs="Times New Roman"/>
          <w:sz w:val="24"/>
          <w:szCs w:val="24"/>
        </w:rPr>
      </w:pPr>
      <w:r w:rsidRPr="008F5E4B">
        <w:rPr>
          <w:rFonts w:ascii="Times New Roman" w:hAnsi="Times New Roman" w:cs="Times New Roman"/>
          <w:sz w:val="24"/>
          <w:szCs w:val="24"/>
        </w:rPr>
        <w:t>Note: here everything is both “known” and ha</w:t>
      </w:r>
      <w:r w:rsidR="008F5E4B" w:rsidRPr="008F5E4B">
        <w:rPr>
          <w:rFonts w:ascii="Times New Roman" w:hAnsi="Times New Roman" w:cs="Times New Roman"/>
          <w:sz w:val="24"/>
          <w:szCs w:val="24"/>
        </w:rPr>
        <w:t xml:space="preserve">s no multigene </w:t>
      </w:r>
      <w:proofErr w:type="spellStart"/>
      <w:r w:rsidR="008F5E4B" w:rsidRPr="008F5E4B">
        <w:rPr>
          <w:rFonts w:ascii="Times New Roman" w:hAnsi="Times New Roman" w:cs="Times New Roman"/>
          <w:sz w:val="24"/>
          <w:szCs w:val="24"/>
        </w:rPr>
        <w:t>exonic</w:t>
      </w:r>
      <w:proofErr w:type="spellEnd"/>
      <w:r w:rsidR="008F5E4B" w:rsidRPr="008F5E4B">
        <w:rPr>
          <w:rFonts w:ascii="Times New Roman" w:hAnsi="Times New Roman" w:cs="Times New Roman"/>
          <w:sz w:val="24"/>
          <w:szCs w:val="24"/>
        </w:rPr>
        <w:t xml:space="preserve"> regions</w:t>
      </w:r>
    </w:p>
    <w:tbl>
      <w:tblPr>
        <w:tblW w:w="9385" w:type="dxa"/>
        <w:tblInd w:w="-38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left w:w="19" w:type="dxa"/>
          <w:right w:w="29" w:type="dxa"/>
        </w:tblCellMar>
        <w:tblLook w:val="04A0" w:firstRow="1" w:lastRow="0" w:firstColumn="1" w:lastColumn="0" w:noHBand="0" w:noVBand="1"/>
      </w:tblPr>
      <w:tblGrid>
        <w:gridCol w:w="1664"/>
        <w:gridCol w:w="1082"/>
        <w:gridCol w:w="950"/>
        <w:gridCol w:w="1096"/>
        <w:gridCol w:w="1561"/>
        <w:gridCol w:w="1572"/>
        <w:gridCol w:w="1460"/>
      </w:tblGrid>
      <w:tr w:rsidR="001A43D4" w:rsidRPr="008F5E4B" w14:paraId="11C78D69" w14:textId="77777777">
        <w:trPr>
          <w:trHeight w:val="256"/>
        </w:trPr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9" w:type="dxa"/>
            </w:tcMar>
            <w:vAlign w:val="bottom"/>
          </w:tcPr>
          <w:p w14:paraId="54857CAD" w14:textId="77777777" w:rsidR="001A43D4" w:rsidRPr="008F5E4B" w:rsidRDefault="007C66FC" w:rsidP="002173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b/>
                <w:sz w:val="24"/>
                <w:szCs w:val="24"/>
              </w:rPr>
              <w:t>Match type</w:t>
            </w:r>
          </w:p>
        </w:tc>
        <w:tc>
          <w:tcPr>
            <w:tcW w:w="10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9" w:type="dxa"/>
            </w:tcMar>
            <w:vAlign w:val="bottom"/>
          </w:tcPr>
          <w:p w14:paraId="200CEC8A" w14:textId="77777777" w:rsidR="001A43D4" w:rsidRPr="008F5E4B" w:rsidRDefault="007C66FC" w:rsidP="002173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9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9" w:type="dxa"/>
            </w:tcMar>
            <w:vAlign w:val="bottom"/>
          </w:tcPr>
          <w:p w14:paraId="2ADB3A75" w14:textId="77777777" w:rsidR="001A43D4" w:rsidRPr="008F5E4B" w:rsidRDefault="007C66FC" w:rsidP="002173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b/>
                <w:sz w:val="24"/>
                <w:szCs w:val="24"/>
              </w:rPr>
              <w:t>NPC1</w:t>
            </w:r>
          </w:p>
        </w:tc>
        <w:tc>
          <w:tcPr>
            <w:tcW w:w="10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9" w:type="dxa"/>
            </w:tcMar>
            <w:vAlign w:val="bottom"/>
          </w:tcPr>
          <w:p w14:paraId="375E698E" w14:textId="77777777" w:rsidR="001A43D4" w:rsidRPr="008F5E4B" w:rsidRDefault="007C66FC" w:rsidP="002173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b/>
                <w:sz w:val="24"/>
                <w:szCs w:val="24"/>
              </w:rPr>
              <w:t>NPC2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9" w:type="dxa"/>
            </w:tcMar>
            <w:vAlign w:val="bottom"/>
          </w:tcPr>
          <w:p w14:paraId="3C043844" w14:textId="77777777" w:rsidR="001A43D4" w:rsidRPr="008F5E4B" w:rsidRDefault="007C66FC" w:rsidP="002173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NSC1 </w:t>
            </w:r>
            <w:r w:rsidRPr="008F5E4B">
              <w:rPr>
                <w:rFonts w:ascii="Cambria Math" w:hAnsi="Cambria Math" w:cs="Cambria Math"/>
                <w:b/>
                <w:sz w:val="24"/>
                <w:szCs w:val="24"/>
              </w:rPr>
              <w:t>∪</w:t>
            </w:r>
            <w:r w:rsidRPr="008F5E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NSC2</w:t>
            </w:r>
          </w:p>
        </w:tc>
        <w:tc>
          <w:tcPr>
            <w:tcW w:w="15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9" w:type="dxa"/>
            </w:tcMar>
            <w:vAlign w:val="bottom"/>
          </w:tcPr>
          <w:p w14:paraId="08EF4DB7" w14:textId="77777777" w:rsidR="001A43D4" w:rsidRPr="008F5E4B" w:rsidRDefault="007C66FC" w:rsidP="002173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b/>
                <w:sz w:val="24"/>
                <w:szCs w:val="24"/>
              </w:rPr>
              <w:t>NSC1 ∩ NSC2</w:t>
            </w:r>
          </w:p>
        </w:tc>
        <w:tc>
          <w:tcPr>
            <w:tcW w:w="14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14:paraId="5F85241E" w14:textId="77777777" w:rsidR="001A43D4" w:rsidRPr="008F5E4B" w:rsidRDefault="007C66FC" w:rsidP="002173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b/>
                <w:sz w:val="24"/>
                <w:szCs w:val="24"/>
              </w:rPr>
              <w:t>Event Analysis (*)</w:t>
            </w:r>
          </w:p>
        </w:tc>
      </w:tr>
      <w:tr w:rsidR="001A43D4" w:rsidRPr="008F5E4B" w14:paraId="0F24DF04" w14:textId="77777777">
        <w:trPr>
          <w:trHeight w:val="256"/>
        </w:trPr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9" w:type="dxa"/>
            </w:tcMar>
            <w:vAlign w:val="bottom"/>
          </w:tcPr>
          <w:p w14:paraId="2F88A7F2" w14:textId="77777777" w:rsidR="001A43D4" w:rsidRPr="008F5E4B" w:rsidRDefault="007C66FC" w:rsidP="002173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Complete match</w:t>
            </w:r>
          </w:p>
        </w:tc>
        <w:tc>
          <w:tcPr>
            <w:tcW w:w="10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9" w:type="dxa"/>
            </w:tcMar>
            <w:vAlign w:val="bottom"/>
          </w:tcPr>
          <w:p w14:paraId="289FCE99" w14:textId="77777777" w:rsidR="001A43D4" w:rsidRPr="008F5E4B" w:rsidRDefault="007C66FC" w:rsidP="002173A2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5,880</w:t>
            </w:r>
          </w:p>
        </w:tc>
        <w:tc>
          <w:tcPr>
            <w:tcW w:w="9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9" w:type="dxa"/>
            </w:tcMar>
            <w:vAlign w:val="bottom"/>
          </w:tcPr>
          <w:p w14:paraId="15C59BB3" w14:textId="77777777" w:rsidR="001A43D4" w:rsidRPr="008F5E4B" w:rsidRDefault="007C66FC" w:rsidP="002173A2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10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9" w:type="dxa"/>
            </w:tcMar>
            <w:vAlign w:val="bottom"/>
          </w:tcPr>
          <w:p w14:paraId="58F2ECE1" w14:textId="77777777" w:rsidR="001A43D4" w:rsidRPr="008F5E4B" w:rsidRDefault="007C66FC" w:rsidP="002173A2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9" w:type="dxa"/>
            </w:tcMar>
            <w:vAlign w:val="bottom"/>
          </w:tcPr>
          <w:p w14:paraId="7A765F2F" w14:textId="77777777" w:rsidR="001A43D4" w:rsidRPr="008F5E4B" w:rsidRDefault="007C66FC" w:rsidP="002173A2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401</w:t>
            </w:r>
          </w:p>
        </w:tc>
        <w:tc>
          <w:tcPr>
            <w:tcW w:w="15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9" w:type="dxa"/>
            </w:tcMar>
            <w:vAlign w:val="bottom"/>
          </w:tcPr>
          <w:p w14:paraId="2A2E7A0C" w14:textId="77777777" w:rsidR="001A43D4" w:rsidRPr="008F5E4B" w:rsidRDefault="007C66FC" w:rsidP="002173A2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14:paraId="540CEE75" w14:textId="77777777" w:rsidR="001A43D4" w:rsidRPr="008F5E4B" w:rsidRDefault="007C66FC" w:rsidP="002173A2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5,686 / 4,538</w:t>
            </w:r>
          </w:p>
        </w:tc>
      </w:tr>
      <w:tr w:rsidR="001A43D4" w:rsidRPr="008F5E4B" w14:paraId="00DD817F" w14:textId="77777777">
        <w:trPr>
          <w:trHeight w:val="518"/>
        </w:trPr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9" w:type="dxa"/>
            </w:tcMar>
            <w:vAlign w:val="bottom"/>
          </w:tcPr>
          <w:p w14:paraId="148C4E22" w14:textId="77777777" w:rsidR="001A43D4" w:rsidRPr="008F5E4B" w:rsidRDefault="007C66FC" w:rsidP="002173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Match length is no more than 10bp diff</w:t>
            </w:r>
          </w:p>
        </w:tc>
        <w:tc>
          <w:tcPr>
            <w:tcW w:w="10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9" w:type="dxa"/>
            </w:tcMar>
            <w:vAlign w:val="bottom"/>
          </w:tcPr>
          <w:p w14:paraId="659E323C" w14:textId="77777777" w:rsidR="001A43D4" w:rsidRPr="008F5E4B" w:rsidRDefault="007C66FC" w:rsidP="002173A2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5,880</w:t>
            </w:r>
          </w:p>
        </w:tc>
        <w:tc>
          <w:tcPr>
            <w:tcW w:w="9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9" w:type="dxa"/>
            </w:tcMar>
            <w:vAlign w:val="bottom"/>
          </w:tcPr>
          <w:p w14:paraId="00FA175F" w14:textId="77777777" w:rsidR="001A43D4" w:rsidRPr="008F5E4B" w:rsidRDefault="007C66FC" w:rsidP="002173A2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291</w:t>
            </w:r>
          </w:p>
        </w:tc>
        <w:tc>
          <w:tcPr>
            <w:tcW w:w="10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9" w:type="dxa"/>
            </w:tcMar>
            <w:vAlign w:val="bottom"/>
          </w:tcPr>
          <w:p w14:paraId="155F3663" w14:textId="77777777" w:rsidR="001A43D4" w:rsidRPr="008F5E4B" w:rsidRDefault="007C66FC" w:rsidP="002173A2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9" w:type="dxa"/>
            </w:tcMar>
            <w:vAlign w:val="bottom"/>
          </w:tcPr>
          <w:p w14:paraId="00B62127" w14:textId="77777777" w:rsidR="001A43D4" w:rsidRPr="008F5E4B" w:rsidRDefault="007C66FC" w:rsidP="002173A2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426</w:t>
            </w:r>
          </w:p>
        </w:tc>
        <w:tc>
          <w:tcPr>
            <w:tcW w:w="15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9" w:type="dxa"/>
            </w:tcMar>
            <w:vAlign w:val="bottom"/>
          </w:tcPr>
          <w:p w14:paraId="66228216" w14:textId="77777777" w:rsidR="001A43D4" w:rsidRPr="008F5E4B" w:rsidRDefault="007C66FC" w:rsidP="002173A2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4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14:paraId="54E56EEE" w14:textId="77777777" w:rsidR="001A43D4" w:rsidRPr="008F5E4B" w:rsidRDefault="007C66FC" w:rsidP="002173A2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5,686 / 4,538</w:t>
            </w:r>
          </w:p>
        </w:tc>
      </w:tr>
      <w:tr w:rsidR="001A43D4" w:rsidRPr="008F5E4B" w14:paraId="183ED021" w14:textId="77777777">
        <w:trPr>
          <w:trHeight w:val="256"/>
        </w:trPr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9" w:type="dxa"/>
            </w:tcMar>
            <w:vAlign w:val="bottom"/>
          </w:tcPr>
          <w:p w14:paraId="4CBDA13B" w14:textId="77777777" w:rsidR="001A43D4" w:rsidRPr="008F5E4B" w:rsidRDefault="007C66FC" w:rsidP="002173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At least 90% match</w:t>
            </w:r>
          </w:p>
        </w:tc>
        <w:tc>
          <w:tcPr>
            <w:tcW w:w="10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9" w:type="dxa"/>
            </w:tcMar>
            <w:vAlign w:val="bottom"/>
          </w:tcPr>
          <w:p w14:paraId="21DF21D6" w14:textId="77777777" w:rsidR="001A43D4" w:rsidRPr="008F5E4B" w:rsidRDefault="007C66FC" w:rsidP="002173A2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5,880</w:t>
            </w:r>
          </w:p>
        </w:tc>
        <w:tc>
          <w:tcPr>
            <w:tcW w:w="9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9" w:type="dxa"/>
            </w:tcMar>
            <w:vAlign w:val="bottom"/>
          </w:tcPr>
          <w:p w14:paraId="0821E60A" w14:textId="77777777" w:rsidR="001A43D4" w:rsidRPr="008F5E4B" w:rsidRDefault="007C66FC" w:rsidP="002173A2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353</w:t>
            </w:r>
          </w:p>
        </w:tc>
        <w:tc>
          <w:tcPr>
            <w:tcW w:w="10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9" w:type="dxa"/>
            </w:tcMar>
            <w:vAlign w:val="bottom"/>
          </w:tcPr>
          <w:p w14:paraId="1782B233" w14:textId="77777777" w:rsidR="001A43D4" w:rsidRPr="008F5E4B" w:rsidRDefault="007C66FC" w:rsidP="002173A2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9" w:type="dxa"/>
            </w:tcMar>
            <w:vAlign w:val="bottom"/>
          </w:tcPr>
          <w:p w14:paraId="0BFB1A95" w14:textId="77777777" w:rsidR="001A43D4" w:rsidRPr="008F5E4B" w:rsidRDefault="007C66FC" w:rsidP="002173A2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15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9" w:type="dxa"/>
            </w:tcMar>
            <w:vAlign w:val="bottom"/>
          </w:tcPr>
          <w:p w14:paraId="3B37879E" w14:textId="77777777" w:rsidR="001A43D4" w:rsidRPr="008F5E4B" w:rsidRDefault="007C66FC" w:rsidP="002173A2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4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14:paraId="5C5A88CC" w14:textId="77777777" w:rsidR="001A43D4" w:rsidRPr="008F5E4B" w:rsidRDefault="007C66FC" w:rsidP="002173A2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5,686 / 4,538</w:t>
            </w:r>
          </w:p>
        </w:tc>
      </w:tr>
      <w:tr w:rsidR="001A43D4" w:rsidRPr="008F5E4B" w14:paraId="725C508E" w14:textId="77777777">
        <w:trPr>
          <w:trHeight w:val="256"/>
        </w:trPr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9" w:type="dxa"/>
            </w:tcMar>
            <w:vAlign w:val="bottom"/>
          </w:tcPr>
          <w:p w14:paraId="3CC3498C" w14:textId="77777777" w:rsidR="001A43D4" w:rsidRPr="008F5E4B" w:rsidRDefault="007C66FC" w:rsidP="002173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At least 75% match</w:t>
            </w:r>
          </w:p>
        </w:tc>
        <w:tc>
          <w:tcPr>
            <w:tcW w:w="10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9" w:type="dxa"/>
            </w:tcMar>
            <w:vAlign w:val="bottom"/>
          </w:tcPr>
          <w:p w14:paraId="2AE9453F" w14:textId="77777777" w:rsidR="001A43D4" w:rsidRPr="008F5E4B" w:rsidRDefault="007C66FC" w:rsidP="002173A2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5,880</w:t>
            </w:r>
          </w:p>
        </w:tc>
        <w:tc>
          <w:tcPr>
            <w:tcW w:w="9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9" w:type="dxa"/>
            </w:tcMar>
            <w:vAlign w:val="bottom"/>
          </w:tcPr>
          <w:p w14:paraId="52123D01" w14:textId="77777777" w:rsidR="001A43D4" w:rsidRPr="008F5E4B" w:rsidRDefault="007C66FC" w:rsidP="002173A2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368</w:t>
            </w:r>
          </w:p>
        </w:tc>
        <w:tc>
          <w:tcPr>
            <w:tcW w:w="10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9" w:type="dxa"/>
            </w:tcMar>
            <w:vAlign w:val="bottom"/>
          </w:tcPr>
          <w:p w14:paraId="20BB3545" w14:textId="77777777" w:rsidR="001A43D4" w:rsidRPr="008F5E4B" w:rsidRDefault="007C66FC" w:rsidP="002173A2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9" w:type="dxa"/>
            </w:tcMar>
            <w:vAlign w:val="bottom"/>
          </w:tcPr>
          <w:p w14:paraId="48F74CBE" w14:textId="77777777" w:rsidR="001A43D4" w:rsidRPr="008F5E4B" w:rsidRDefault="007C66FC" w:rsidP="002173A2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549</w:t>
            </w:r>
          </w:p>
        </w:tc>
        <w:tc>
          <w:tcPr>
            <w:tcW w:w="15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9" w:type="dxa"/>
            </w:tcMar>
            <w:vAlign w:val="bottom"/>
          </w:tcPr>
          <w:p w14:paraId="5247E319" w14:textId="77777777" w:rsidR="001A43D4" w:rsidRPr="008F5E4B" w:rsidRDefault="007C66FC" w:rsidP="002173A2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4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14:paraId="2AE01A43" w14:textId="77777777" w:rsidR="001A43D4" w:rsidRPr="008F5E4B" w:rsidRDefault="007C66FC" w:rsidP="002173A2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5,686 / 4,538</w:t>
            </w:r>
          </w:p>
        </w:tc>
      </w:tr>
      <w:tr w:rsidR="001A43D4" w:rsidRPr="008F5E4B" w14:paraId="25FB84E0" w14:textId="77777777">
        <w:trPr>
          <w:trHeight w:val="256"/>
        </w:trPr>
        <w:tc>
          <w:tcPr>
            <w:tcW w:w="1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9" w:type="dxa"/>
            </w:tcMar>
            <w:vAlign w:val="bottom"/>
          </w:tcPr>
          <w:p w14:paraId="5A8B5E15" w14:textId="77777777" w:rsidR="001A43D4" w:rsidRPr="008F5E4B" w:rsidRDefault="007C66FC" w:rsidP="002173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At least 50% match</w:t>
            </w:r>
          </w:p>
        </w:tc>
        <w:tc>
          <w:tcPr>
            <w:tcW w:w="10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9" w:type="dxa"/>
            </w:tcMar>
            <w:vAlign w:val="bottom"/>
          </w:tcPr>
          <w:p w14:paraId="2FA52744" w14:textId="77777777" w:rsidR="001A43D4" w:rsidRPr="008F5E4B" w:rsidRDefault="007C66FC" w:rsidP="002173A2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5,880</w:t>
            </w:r>
          </w:p>
        </w:tc>
        <w:tc>
          <w:tcPr>
            <w:tcW w:w="9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9" w:type="dxa"/>
            </w:tcMar>
            <w:vAlign w:val="bottom"/>
          </w:tcPr>
          <w:p w14:paraId="6DE03B29" w14:textId="77777777" w:rsidR="001A43D4" w:rsidRPr="008F5E4B" w:rsidRDefault="007C66FC" w:rsidP="002173A2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376</w:t>
            </w:r>
          </w:p>
        </w:tc>
        <w:tc>
          <w:tcPr>
            <w:tcW w:w="10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9" w:type="dxa"/>
            </w:tcMar>
            <w:vAlign w:val="bottom"/>
          </w:tcPr>
          <w:p w14:paraId="4E4A7D78" w14:textId="77777777" w:rsidR="001A43D4" w:rsidRPr="008F5E4B" w:rsidRDefault="007C66FC" w:rsidP="002173A2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316</w:t>
            </w:r>
          </w:p>
        </w:tc>
        <w:tc>
          <w:tcPr>
            <w:tcW w:w="1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9" w:type="dxa"/>
            </w:tcMar>
            <w:vAlign w:val="bottom"/>
          </w:tcPr>
          <w:p w14:paraId="1ABC3BE3" w14:textId="77777777" w:rsidR="001A43D4" w:rsidRPr="008F5E4B" w:rsidRDefault="007C66FC" w:rsidP="002173A2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562</w:t>
            </w:r>
          </w:p>
        </w:tc>
        <w:tc>
          <w:tcPr>
            <w:tcW w:w="15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9" w:type="dxa"/>
            </w:tcMar>
            <w:vAlign w:val="bottom"/>
          </w:tcPr>
          <w:p w14:paraId="42523E65" w14:textId="77777777" w:rsidR="001A43D4" w:rsidRPr="008F5E4B" w:rsidRDefault="007C66FC" w:rsidP="002173A2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4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14:paraId="683074BE" w14:textId="77777777" w:rsidR="001A43D4" w:rsidRPr="008F5E4B" w:rsidRDefault="007C66FC" w:rsidP="002173A2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5,686 / 4,538</w:t>
            </w:r>
          </w:p>
        </w:tc>
      </w:tr>
    </w:tbl>
    <w:p w14:paraId="3D2555C6" w14:textId="77777777" w:rsidR="001A43D4" w:rsidRPr="008F5E4B" w:rsidRDefault="007C66FC" w:rsidP="002173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5E4B">
        <w:rPr>
          <w:rFonts w:ascii="Times New Roman" w:hAnsi="Times New Roman" w:cs="Times New Roman"/>
          <w:sz w:val="24"/>
          <w:szCs w:val="24"/>
        </w:rPr>
        <w:t>* Number of PacBio transcripts retained with Event Analysis, at detection APN&gt;0 and at least 75% events detected / 100% events detected</w:t>
      </w:r>
    </w:p>
    <w:p w14:paraId="5C5862F2" w14:textId="77777777" w:rsidR="001A43D4" w:rsidRPr="008F5E4B" w:rsidRDefault="001A43D4" w:rsidP="002173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5D8CBD5" w14:textId="73E05630" w:rsidR="001A43D4" w:rsidRPr="008F5E4B" w:rsidRDefault="007C66FC" w:rsidP="002173A2">
      <w:pPr>
        <w:spacing w:line="36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F5E4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Table </w:t>
      </w:r>
      <w:r w:rsidR="008F5E4B" w:rsidRPr="008F5E4B">
        <w:rPr>
          <w:rFonts w:ascii="Times New Roman" w:hAnsi="Times New Roman" w:cs="Times New Roman"/>
          <w:b/>
          <w:sz w:val="24"/>
          <w:szCs w:val="24"/>
        </w:rPr>
        <w:t>S4.</w:t>
      </w:r>
      <w:r w:rsidR="000144E9">
        <w:rPr>
          <w:rFonts w:ascii="Times New Roman" w:hAnsi="Times New Roman" w:cs="Times New Roman"/>
          <w:b/>
          <w:bCs/>
          <w:iCs/>
          <w:sz w:val="24"/>
          <w:szCs w:val="24"/>
        </w:rPr>
        <w:t>2</w:t>
      </w:r>
      <w:r w:rsidRPr="008F5E4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: </w:t>
      </w:r>
      <w:proofErr w:type="spellStart"/>
      <w:r w:rsidRPr="008F5E4B">
        <w:rPr>
          <w:rFonts w:ascii="Times New Roman" w:hAnsi="Times New Roman" w:cs="Times New Roman"/>
          <w:b/>
          <w:bCs/>
          <w:iCs/>
          <w:sz w:val="24"/>
          <w:szCs w:val="24"/>
        </w:rPr>
        <w:t>iReckon</w:t>
      </w:r>
      <w:proofErr w:type="spellEnd"/>
      <w:r w:rsidRPr="008F5E4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transcripts present in PacBio / </w:t>
      </w:r>
      <w:proofErr w:type="spellStart"/>
      <w:r w:rsidRPr="008F5E4B">
        <w:rPr>
          <w:rFonts w:ascii="Times New Roman" w:hAnsi="Times New Roman" w:cs="Times New Roman"/>
          <w:b/>
          <w:bCs/>
          <w:iCs/>
          <w:sz w:val="24"/>
          <w:szCs w:val="24"/>
        </w:rPr>
        <w:t>Refseq</w:t>
      </w:r>
      <w:proofErr w:type="spellEnd"/>
      <w:r w:rsidRPr="008F5E4B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</w:p>
    <w:tbl>
      <w:tblPr>
        <w:tblW w:w="8183" w:type="dxa"/>
        <w:tblInd w:w="-3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left w:w="22" w:type="dxa"/>
          <w:right w:w="29" w:type="dxa"/>
        </w:tblCellMar>
        <w:tblLook w:val="04A0" w:firstRow="1" w:lastRow="0" w:firstColumn="1" w:lastColumn="0" w:noHBand="0" w:noVBand="1"/>
      </w:tblPr>
      <w:tblGrid>
        <w:gridCol w:w="1882"/>
        <w:gridCol w:w="1450"/>
        <w:gridCol w:w="1167"/>
        <w:gridCol w:w="1717"/>
        <w:gridCol w:w="1967"/>
      </w:tblGrid>
      <w:tr w:rsidR="001A43D4" w:rsidRPr="008F5E4B" w14:paraId="304AD35C" w14:textId="77777777">
        <w:trPr>
          <w:trHeight w:val="256"/>
        </w:trPr>
        <w:tc>
          <w:tcPr>
            <w:tcW w:w="18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29109621" w14:textId="77777777" w:rsidR="001A43D4" w:rsidRPr="008F5E4B" w:rsidRDefault="001A43D4" w:rsidP="002173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7C5C2B1A" w14:textId="77777777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b/>
                <w:sz w:val="24"/>
                <w:szCs w:val="24"/>
              </w:rPr>
              <w:t>NPC1</w:t>
            </w:r>
          </w:p>
        </w:tc>
        <w:tc>
          <w:tcPr>
            <w:tcW w:w="11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76EE90B5" w14:textId="77777777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b/>
                <w:sz w:val="24"/>
                <w:szCs w:val="24"/>
              </w:rPr>
              <w:t>NPC2</w:t>
            </w:r>
          </w:p>
        </w:tc>
        <w:tc>
          <w:tcPr>
            <w:tcW w:w="17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39327128" w14:textId="77777777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NSC1 </w:t>
            </w:r>
            <w:r w:rsidRPr="008F5E4B">
              <w:rPr>
                <w:rFonts w:ascii="Cambria Math" w:hAnsi="Cambria Math" w:cs="Cambria Math"/>
                <w:b/>
                <w:sz w:val="24"/>
                <w:szCs w:val="24"/>
              </w:rPr>
              <w:t>∪</w:t>
            </w:r>
            <w:r w:rsidRPr="008F5E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NSC2</w:t>
            </w:r>
          </w:p>
        </w:tc>
        <w:tc>
          <w:tcPr>
            <w:tcW w:w="19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5F2BD9AE" w14:textId="77777777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b/>
                <w:sz w:val="24"/>
                <w:szCs w:val="24"/>
              </w:rPr>
              <w:t>NSC1 ∩ NSC2</w:t>
            </w:r>
          </w:p>
        </w:tc>
      </w:tr>
      <w:tr w:rsidR="001A43D4" w:rsidRPr="008F5E4B" w14:paraId="4B8B5916" w14:textId="77777777">
        <w:trPr>
          <w:trHeight w:val="256"/>
        </w:trPr>
        <w:tc>
          <w:tcPr>
            <w:tcW w:w="18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419B4085" w14:textId="77777777" w:rsidR="001A43D4" w:rsidRPr="008F5E4B" w:rsidRDefault="007C66FC" w:rsidP="002173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No matches</w:t>
            </w:r>
          </w:p>
        </w:tc>
        <w:tc>
          <w:tcPr>
            <w:tcW w:w="1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7C070ED2" w14:textId="42705F79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A29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1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35D08CB2" w14:textId="1615CED7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A29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675</w:t>
            </w:r>
          </w:p>
        </w:tc>
        <w:tc>
          <w:tcPr>
            <w:tcW w:w="17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1CB24CA0" w14:textId="5DACCF5E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2A29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9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7F32664B" w14:textId="744E1C37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A29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1A43D4" w:rsidRPr="008F5E4B" w14:paraId="47E9FF42" w14:textId="77777777">
        <w:trPr>
          <w:trHeight w:val="256"/>
        </w:trPr>
        <w:tc>
          <w:tcPr>
            <w:tcW w:w="18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3BE574FD" w14:textId="77777777" w:rsidR="001A43D4" w:rsidRPr="008F5E4B" w:rsidRDefault="007C66FC" w:rsidP="002173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PacBio-only</w:t>
            </w:r>
          </w:p>
        </w:tc>
        <w:tc>
          <w:tcPr>
            <w:tcW w:w="1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6CC5D923" w14:textId="6C0B7C65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A29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</w:p>
        </w:tc>
        <w:tc>
          <w:tcPr>
            <w:tcW w:w="11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7D27FBA3" w14:textId="77777777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17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01ED9A06" w14:textId="499C2B01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A29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948</w:t>
            </w:r>
          </w:p>
        </w:tc>
        <w:tc>
          <w:tcPr>
            <w:tcW w:w="19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133A8AC2" w14:textId="77777777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1A43D4" w:rsidRPr="008F5E4B" w14:paraId="0C08EB98" w14:textId="77777777">
        <w:trPr>
          <w:trHeight w:val="256"/>
        </w:trPr>
        <w:tc>
          <w:tcPr>
            <w:tcW w:w="18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76F25C18" w14:textId="77777777" w:rsidR="001A43D4" w:rsidRPr="008F5E4B" w:rsidRDefault="007C66FC" w:rsidP="002173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Refseq</w:t>
            </w:r>
            <w:proofErr w:type="spellEnd"/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-only</w:t>
            </w:r>
          </w:p>
        </w:tc>
        <w:tc>
          <w:tcPr>
            <w:tcW w:w="1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4AC3EBBF" w14:textId="77777777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701</w:t>
            </w:r>
          </w:p>
        </w:tc>
        <w:tc>
          <w:tcPr>
            <w:tcW w:w="11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5937CEEF" w14:textId="77777777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551</w:t>
            </w:r>
          </w:p>
        </w:tc>
        <w:tc>
          <w:tcPr>
            <w:tcW w:w="17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4D0A8AC7" w14:textId="072AA7BF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A29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9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287AD9F9" w14:textId="77777777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1A43D4" w:rsidRPr="008F5E4B" w14:paraId="684C4E1E" w14:textId="77777777">
        <w:trPr>
          <w:trHeight w:val="256"/>
        </w:trPr>
        <w:tc>
          <w:tcPr>
            <w:tcW w:w="18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4D42DA4B" w14:textId="77777777" w:rsidR="001A43D4" w:rsidRPr="008F5E4B" w:rsidRDefault="007C66FC" w:rsidP="002173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 xml:space="preserve">PacBio and </w:t>
            </w:r>
            <w:proofErr w:type="spellStart"/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Refseq</w:t>
            </w:r>
            <w:proofErr w:type="spellEnd"/>
          </w:p>
        </w:tc>
        <w:tc>
          <w:tcPr>
            <w:tcW w:w="1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18BD524E" w14:textId="77777777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709</w:t>
            </w:r>
          </w:p>
        </w:tc>
        <w:tc>
          <w:tcPr>
            <w:tcW w:w="11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320B32C2" w14:textId="77777777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17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72A70DB2" w14:textId="0A7210D3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A29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9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0DC561F9" w14:textId="77777777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</w:tr>
      <w:tr w:rsidR="001A43D4" w:rsidRPr="008F5E4B" w14:paraId="1E798AA5" w14:textId="77777777">
        <w:trPr>
          <w:trHeight w:val="256"/>
        </w:trPr>
        <w:tc>
          <w:tcPr>
            <w:tcW w:w="18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525DCBBC" w14:textId="77777777" w:rsidR="001A43D4" w:rsidRPr="008F5E4B" w:rsidRDefault="007C66FC" w:rsidP="002173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735DC848" w14:textId="0FB02DEC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2A29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  <w:tc>
          <w:tcPr>
            <w:tcW w:w="11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6FD95BF4" w14:textId="74DE7AB1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A29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582</w:t>
            </w:r>
          </w:p>
        </w:tc>
        <w:tc>
          <w:tcPr>
            <w:tcW w:w="17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00A98BC4" w14:textId="54FC183D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2A29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438</w:t>
            </w:r>
          </w:p>
        </w:tc>
        <w:tc>
          <w:tcPr>
            <w:tcW w:w="19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036395E1" w14:textId="663AAEBB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A29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462</w:t>
            </w:r>
          </w:p>
        </w:tc>
      </w:tr>
    </w:tbl>
    <w:p w14:paraId="37C899DE" w14:textId="77777777" w:rsidR="001A43D4" w:rsidRPr="008F5E4B" w:rsidRDefault="001A43D4" w:rsidP="002173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5C39D7F" w14:textId="77777777" w:rsidR="001A43D4" w:rsidRPr="008F5E4B" w:rsidRDefault="001A43D4" w:rsidP="002173A2">
      <w:pPr>
        <w:pStyle w:val="ListParagraph"/>
        <w:spacing w:line="36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5C7DEA00" w14:textId="77777777" w:rsidR="001A43D4" w:rsidRPr="008F5E4B" w:rsidRDefault="001A43D4" w:rsidP="002173A2">
      <w:pPr>
        <w:pStyle w:val="ListParagraph"/>
        <w:spacing w:line="36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6586EC2C" w14:textId="36936A9E" w:rsidR="001A43D4" w:rsidRPr="008F5E4B" w:rsidRDefault="007C66FC" w:rsidP="002173A2">
      <w:pPr>
        <w:pStyle w:val="ListParagraph"/>
        <w:spacing w:line="360" w:lineRule="auto"/>
        <w:ind w:left="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F5E4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Table </w:t>
      </w:r>
      <w:r w:rsidR="008F5E4B" w:rsidRPr="008F5E4B">
        <w:rPr>
          <w:rFonts w:ascii="Times New Roman" w:hAnsi="Times New Roman" w:cs="Times New Roman"/>
          <w:b/>
          <w:sz w:val="24"/>
          <w:szCs w:val="24"/>
        </w:rPr>
        <w:t>S4.</w:t>
      </w:r>
      <w:r w:rsidR="000144E9">
        <w:rPr>
          <w:rFonts w:ascii="Times New Roman" w:hAnsi="Times New Roman" w:cs="Times New Roman"/>
          <w:b/>
          <w:bCs/>
          <w:iCs/>
          <w:sz w:val="24"/>
          <w:szCs w:val="24"/>
        </w:rPr>
        <w:t>3</w:t>
      </w:r>
      <w:r w:rsidRPr="008F5E4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: </w:t>
      </w:r>
      <w:proofErr w:type="spellStart"/>
      <w:r w:rsidR="000144E9">
        <w:rPr>
          <w:rFonts w:ascii="Times New Roman" w:hAnsi="Times New Roman" w:cs="Times New Roman"/>
          <w:b/>
          <w:bCs/>
          <w:iCs/>
          <w:sz w:val="24"/>
          <w:szCs w:val="24"/>
        </w:rPr>
        <w:t>i</w:t>
      </w:r>
      <w:r w:rsidR="009A5901" w:rsidRPr="008F5E4B">
        <w:rPr>
          <w:rFonts w:ascii="Times New Roman" w:hAnsi="Times New Roman" w:cs="Times New Roman"/>
          <w:b/>
          <w:bCs/>
          <w:iCs/>
          <w:sz w:val="24"/>
          <w:szCs w:val="24"/>
        </w:rPr>
        <w:t>Reckon</w:t>
      </w:r>
      <w:proofErr w:type="spellEnd"/>
      <w:r w:rsidR="009A5901" w:rsidRPr="008F5E4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8F5E4B">
        <w:rPr>
          <w:rFonts w:ascii="Times New Roman" w:hAnsi="Times New Roman" w:cs="Times New Roman"/>
          <w:b/>
          <w:bCs/>
          <w:iCs/>
          <w:sz w:val="24"/>
          <w:szCs w:val="24"/>
        </w:rPr>
        <w:t>compared to E</w:t>
      </w:r>
      <w:r w:rsidR="000144E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vent </w:t>
      </w:r>
      <w:r w:rsidRPr="008F5E4B">
        <w:rPr>
          <w:rFonts w:ascii="Times New Roman" w:hAnsi="Times New Roman" w:cs="Times New Roman"/>
          <w:b/>
          <w:bCs/>
          <w:iCs/>
          <w:sz w:val="24"/>
          <w:szCs w:val="24"/>
        </w:rPr>
        <w:t>A</w:t>
      </w:r>
      <w:r w:rsidR="000144E9">
        <w:rPr>
          <w:rFonts w:ascii="Times New Roman" w:hAnsi="Times New Roman" w:cs="Times New Roman"/>
          <w:b/>
          <w:bCs/>
          <w:iCs/>
          <w:sz w:val="24"/>
          <w:szCs w:val="24"/>
        </w:rPr>
        <w:t>nalysis</w:t>
      </w:r>
      <w:r w:rsidRPr="008F5E4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and P</w:t>
      </w:r>
      <w:r w:rsidR="000144E9">
        <w:rPr>
          <w:rFonts w:ascii="Times New Roman" w:hAnsi="Times New Roman" w:cs="Times New Roman"/>
          <w:b/>
          <w:bCs/>
          <w:iCs/>
          <w:sz w:val="24"/>
          <w:szCs w:val="24"/>
        </w:rPr>
        <w:t>ac</w:t>
      </w:r>
      <w:r w:rsidRPr="008F5E4B">
        <w:rPr>
          <w:rFonts w:ascii="Times New Roman" w:hAnsi="Times New Roman" w:cs="Times New Roman"/>
          <w:b/>
          <w:bCs/>
          <w:iCs/>
          <w:sz w:val="24"/>
          <w:szCs w:val="24"/>
        </w:rPr>
        <w:t>B</w:t>
      </w:r>
      <w:r w:rsidR="000144E9">
        <w:rPr>
          <w:rFonts w:ascii="Times New Roman" w:hAnsi="Times New Roman" w:cs="Times New Roman"/>
          <w:b/>
          <w:bCs/>
          <w:iCs/>
          <w:sz w:val="24"/>
          <w:szCs w:val="24"/>
        </w:rPr>
        <w:t>io, i</w:t>
      </w:r>
      <w:r w:rsidRPr="008F5E4B">
        <w:rPr>
          <w:rFonts w:ascii="Times New Roman" w:hAnsi="Times New Roman" w:cs="Times New Roman"/>
          <w:b/>
          <w:bCs/>
          <w:iCs/>
          <w:sz w:val="24"/>
          <w:szCs w:val="24"/>
        </w:rPr>
        <w:t>ncluding 2 reduced references:</w:t>
      </w:r>
    </w:p>
    <w:tbl>
      <w:tblPr>
        <w:tblW w:w="9367" w:type="dxa"/>
        <w:tblInd w:w="-3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left w:w="22" w:type="dxa"/>
          <w:right w:w="29" w:type="dxa"/>
        </w:tblCellMar>
        <w:tblLook w:val="04A0" w:firstRow="1" w:lastRow="0" w:firstColumn="1" w:lastColumn="0" w:noHBand="0" w:noVBand="1"/>
      </w:tblPr>
      <w:tblGrid>
        <w:gridCol w:w="3417"/>
        <w:gridCol w:w="1348"/>
        <w:gridCol w:w="1002"/>
        <w:gridCol w:w="1800"/>
        <w:gridCol w:w="1800"/>
      </w:tblGrid>
      <w:tr w:rsidR="001A43D4" w:rsidRPr="008F5E4B" w14:paraId="2174CEA8" w14:textId="77777777">
        <w:trPr>
          <w:trHeight w:val="256"/>
        </w:trPr>
        <w:tc>
          <w:tcPr>
            <w:tcW w:w="3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0EDE58A8" w14:textId="77777777" w:rsidR="001A43D4" w:rsidRPr="008F5E4B" w:rsidRDefault="001A43D4" w:rsidP="002173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02FBD1EB" w14:textId="77777777" w:rsidR="001A43D4" w:rsidRPr="008F5E4B" w:rsidRDefault="007C66FC" w:rsidP="002173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b/>
                <w:sz w:val="24"/>
                <w:szCs w:val="24"/>
              </w:rPr>
              <w:t>NPC1</w:t>
            </w:r>
          </w:p>
        </w:tc>
        <w:tc>
          <w:tcPr>
            <w:tcW w:w="10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11B0D048" w14:textId="77777777" w:rsidR="001A43D4" w:rsidRPr="008F5E4B" w:rsidRDefault="007C66FC" w:rsidP="002173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b/>
                <w:sz w:val="24"/>
                <w:szCs w:val="24"/>
              </w:rPr>
              <w:t>NPC2</w:t>
            </w:r>
          </w:p>
        </w:tc>
        <w:tc>
          <w:tcPr>
            <w:tcW w:w="1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47331E91" w14:textId="77777777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NSC1 </w:t>
            </w:r>
            <w:r w:rsidRPr="008F5E4B">
              <w:rPr>
                <w:rFonts w:ascii="Cambria Math" w:hAnsi="Cambria Math" w:cs="Cambria Math"/>
                <w:b/>
                <w:sz w:val="24"/>
                <w:szCs w:val="24"/>
              </w:rPr>
              <w:t>∪</w:t>
            </w:r>
            <w:r w:rsidRPr="008F5E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NSC2</w:t>
            </w:r>
          </w:p>
        </w:tc>
        <w:tc>
          <w:tcPr>
            <w:tcW w:w="1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0F288B4D" w14:textId="77777777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b/>
                <w:sz w:val="24"/>
                <w:szCs w:val="24"/>
              </w:rPr>
              <w:t>NSC1 ∩ NSC2</w:t>
            </w:r>
          </w:p>
        </w:tc>
      </w:tr>
      <w:tr w:rsidR="001A43D4" w:rsidRPr="008F5E4B" w14:paraId="29C84503" w14:textId="77777777">
        <w:trPr>
          <w:trHeight w:val="256"/>
        </w:trPr>
        <w:tc>
          <w:tcPr>
            <w:tcW w:w="3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1928DA07" w14:textId="77777777" w:rsidR="001A43D4" w:rsidRPr="008F5E4B" w:rsidRDefault="007C66FC" w:rsidP="002173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No matches</w:t>
            </w:r>
          </w:p>
        </w:tc>
        <w:tc>
          <w:tcPr>
            <w:tcW w:w="13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4F40ED99" w14:textId="739D537A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A29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0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08E7E31F" w14:textId="759865EE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A29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675</w:t>
            </w:r>
          </w:p>
        </w:tc>
        <w:tc>
          <w:tcPr>
            <w:tcW w:w="1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4300DC40" w14:textId="728B49FA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2A29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130E61BD" w14:textId="64A1F906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A29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1A43D4" w:rsidRPr="008F5E4B" w14:paraId="71CAE5C5" w14:textId="77777777">
        <w:trPr>
          <w:trHeight w:val="256"/>
        </w:trPr>
        <w:tc>
          <w:tcPr>
            <w:tcW w:w="3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030C4428" w14:textId="77777777" w:rsidR="001A43D4" w:rsidRPr="008F5E4B" w:rsidRDefault="007C66FC" w:rsidP="002173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PacBio-only</w:t>
            </w:r>
          </w:p>
        </w:tc>
        <w:tc>
          <w:tcPr>
            <w:tcW w:w="13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089F71A0" w14:textId="5B902FD4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A29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</w:p>
        </w:tc>
        <w:tc>
          <w:tcPr>
            <w:tcW w:w="10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67D6B85A" w14:textId="77777777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1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336B527E" w14:textId="34DB491A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A29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948</w:t>
            </w:r>
          </w:p>
        </w:tc>
        <w:tc>
          <w:tcPr>
            <w:tcW w:w="1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3748755B" w14:textId="77777777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1A43D4" w:rsidRPr="008F5E4B" w14:paraId="175501F9" w14:textId="77777777">
        <w:trPr>
          <w:trHeight w:val="256"/>
        </w:trPr>
        <w:tc>
          <w:tcPr>
            <w:tcW w:w="3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0FDD9BDF" w14:textId="77777777" w:rsidR="001A43D4" w:rsidRPr="008F5E4B" w:rsidRDefault="007C66FC" w:rsidP="002173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Refseq</w:t>
            </w:r>
            <w:proofErr w:type="spellEnd"/>
            <w:r w:rsidRPr="008F5E4B">
              <w:rPr>
                <w:rFonts w:ascii="Times New Roman" w:hAnsi="Times New Roman" w:cs="Times New Roman"/>
                <w:sz w:val="24"/>
                <w:szCs w:val="24"/>
              </w:rPr>
              <w:t xml:space="preserve"> match, not in RR1 or RR2</w:t>
            </w:r>
          </w:p>
        </w:tc>
        <w:tc>
          <w:tcPr>
            <w:tcW w:w="13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43B183AB" w14:textId="77777777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355</w:t>
            </w:r>
          </w:p>
        </w:tc>
        <w:tc>
          <w:tcPr>
            <w:tcW w:w="10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0C14FFCE" w14:textId="77777777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1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1CA63CA8" w14:textId="77777777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586</w:t>
            </w:r>
          </w:p>
        </w:tc>
        <w:tc>
          <w:tcPr>
            <w:tcW w:w="1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3071C310" w14:textId="77777777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1A43D4" w:rsidRPr="008F5E4B" w14:paraId="3BEDC3ED" w14:textId="77777777">
        <w:trPr>
          <w:trHeight w:val="256"/>
        </w:trPr>
        <w:tc>
          <w:tcPr>
            <w:tcW w:w="3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33397A09" w14:textId="77777777" w:rsidR="001A43D4" w:rsidRPr="008F5E4B" w:rsidRDefault="007C66FC" w:rsidP="002173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Refseq</w:t>
            </w:r>
            <w:proofErr w:type="spellEnd"/>
            <w:r w:rsidRPr="008F5E4B">
              <w:rPr>
                <w:rFonts w:ascii="Times New Roman" w:hAnsi="Times New Roman" w:cs="Times New Roman"/>
                <w:sz w:val="24"/>
                <w:szCs w:val="24"/>
              </w:rPr>
              <w:t xml:space="preserve"> match, in RR1</w:t>
            </w:r>
          </w:p>
        </w:tc>
        <w:tc>
          <w:tcPr>
            <w:tcW w:w="13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3F0B772C" w14:textId="77777777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0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35E7ACE6" w14:textId="77777777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13E0CC33" w14:textId="77777777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32066F6F" w14:textId="77777777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1A43D4" w:rsidRPr="008F5E4B" w14:paraId="3907CC2E" w14:textId="77777777">
        <w:trPr>
          <w:trHeight w:val="256"/>
        </w:trPr>
        <w:tc>
          <w:tcPr>
            <w:tcW w:w="3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2B822355" w14:textId="77777777" w:rsidR="001A43D4" w:rsidRPr="008F5E4B" w:rsidRDefault="007C66FC" w:rsidP="002173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Refseq</w:t>
            </w:r>
            <w:proofErr w:type="spellEnd"/>
            <w:r w:rsidRPr="008F5E4B">
              <w:rPr>
                <w:rFonts w:ascii="Times New Roman" w:hAnsi="Times New Roman" w:cs="Times New Roman"/>
                <w:sz w:val="24"/>
                <w:szCs w:val="24"/>
              </w:rPr>
              <w:t xml:space="preserve"> match, in RR2</w:t>
            </w:r>
          </w:p>
        </w:tc>
        <w:tc>
          <w:tcPr>
            <w:tcW w:w="13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3A922B40" w14:textId="77777777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14921902" w14:textId="77777777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43D624A3" w14:textId="77777777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094862ED" w14:textId="77777777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A43D4" w:rsidRPr="008F5E4B" w14:paraId="02B334B0" w14:textId="77777777">
        <w:trPr>
          <w:trHeight w:val="256"/>
        </w:trPr>
        <w:tc>
          <w:tcPr>
            <w:tcW w:w="3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7B30CF62" w14:textId="77777777" w:rsidR="001A43D4" w:rsidRPr="008F5E4B" w:rsidRDefault="007C66FC" w:rsidP="002173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Refseq</w:t>
            </w:r>
            <w:proofErr w:type="spellEnd"/>
            <w:r w:rsidRPr="008F5E4B">
              <w:rPr>
                <w:rFonts w:ascii="Times New Roman" w:hAnsi="Times New Roman" w:cs="Times New Roman"/>
                <w:sz w:val="24"/>
                <w:szCs w:val="24"/>
              </w:rPr>
              <w:t xml:space="preserve"> match, in RR1 and RR2</w:t>
            </w:r>
          </w:p>
        </w:tc>
        <w:tc>
          <w:tcPr>
            <w:tcW w:w="13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1A90D82B" w14:textId="77777777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0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41C19CF2" w14:textId="77777777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3BAEDA03" w14:textId="77777777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1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3DEE86B9" w14:textId="77777777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1A43D4" w:rsidRPr="008F5E4B" w14:paraId="6C1E2AE8" w14:textId="77777777">
        <w:trPr>
          <w:trHeight w:val="256"/>
        </w:trPr>
        <w:tc>
          <w:tcPr>
            <w:tcW w:w="3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2FF8F05F" w14:textId="77777777" w:rsidR="001A43D4" w:rsidRPr="008F5E4B" w:rsidRDefault="007C66FC" w:rsidP="002173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Refseq</w:t>
            </w:r>
            <w:proofErr w:type="spellEnd"/>
            <w:r w:rsidRPr="008F5E4B">
              <w:rPr>
                <w:rFonts w:ascii="Times New Roman" w:hAnsi="Times New Roman" w:cs="Times New Roman"/>
                <w:sz w:val="24"/>
                <w:szCs w:val="24"/>
              </w:rPr>
              <w:t xml:space="preserve"> and PacBio match, not in RR1 or RR2</w:t>
            </w:r>
          </w:p>
        </w:tc>
        <w:tc>
          <w:tcPr>
            <w:tcW w:w="13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7C2A3B56" w14:textId="77777777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10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7B334661" w14:textId="77777777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1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791FE60E" w14:textId="77777777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411</w:t>
            </w:r>
          </w:p>
        </w:tc>
        <w:tc>
          <w:tcPr>
            <w:tcW w:w="1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57C999CD" w14:textId="77777777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1A43D4" w:rsidRPr="008F5E4B" w14:paraId="086B9537" w14:textId="77777777">
        <w:trPr>
          <w:trHeight w:val="256"/>
        </w:trPr>
        <w:tc>
          <w:tcPr>
            <w:tcW w:w="3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5C60F386" w14:textId="77777777" w:rsidR="001A43D4" w:rsidRPr="008F5E4B" w:rsidRDefault="007C66FC" w:rsidP="002173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Refseq</w:t>
            </w:r>
            <w:proofErr w:type="spellEnd"/>
            <w:r w:rsidRPr="008F5E4B">
              <w:rPr>
                <w:rFonts w:ascii="Times New Roman" w:hAnsi="Times New Roman" w:cs="Times New Roman"/>
                <w:sz w:val="24"/>
                <w:szCs w:val="24"/>
              </w:rPr>
              <w:t xml:space="preserve"> and PacBio match, in RR1</w:t>
            </w:r>
          </w:p>
        </w:tc>
        <w:tc>
          <w:tcPr>
            <w:tcW w:w="13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0E6B5597" w14:textId="77777777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46BF49A3" w14:textId="77777777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3378CC81" w14:textId="77777777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3C4A45FB" w14:textId="77777777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43D4" w:rsidRPr="008F5E4B" w14:paraId="6E3A4C03" w14:textId="77777777">
        <w:trPr>
          <w:trHeight w:val="256"/>
        </w:trPr>
        <w:tc>
          <w:tcPr>
            <w:tcW w:w="3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22480918" w14:textId="77777777" w:rsidR="001A43D4" w:rsidRPr="008F5E4B" w:rsidRDefault="007C66FC" w:rsidP="002173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5E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Refseq</w:t>
            </w:r>
            <w:proofErr w:type="spellEnd"/>
            <w:r w:rsidRPr="008F5E4B">
              <w:rPr>
                <w:rFonts w:ascii="Times New Roman" w:hAnsi="Times New Roman" w:cs="Times New Roman"/>
                <w:sz w:val="24"/>
                <w:szCs w:val="24"/>
              </w:rPr>
              <w:t xml:space="preserve"> and PacBio match, in RR2</w:t>
            </w:r>
          </w:p>
        </w:tc>
        <w:tc>
          <w:tcPr>
            <w:tcW w:w="13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40919457" w14:textId="77777777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0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2BF4B768" w14:textId="77777777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662CD68A" w14:textId="77777777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612F4A17" w14:textId="77777777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A43D4" w:rsidRPr="008F5E4B" w14:paraId="6749C879" w14:textId="77777777">
        <w:trPr>
          <w:trHeight w:val="256"/>
        </w:trPr>
        <w:tc>
          <w:tcPr>
            <w:tcW w:w="3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4D83125D" w14:textId="77777777" w:rsidR="001A43D4" w:rsidRPr="008F5E4B" w:rsidRDefault="007C66FC" w:rsidP="002173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Refseq</w:t>
            </w:r>
            <w:proofErr w:type="spellEnd"/>
            <w:r w:rsidRPr="008F5E4B">
              <w:rPr>
                <w:rFonts w:ascii="Times New Roman" w:hAnsi="Times New Roman" w:cs="Times New Roman"/>
                <w:sz w:val="24"/>
                <w:szCs w:val="24"/>
              </w:rPr>
              <w:t xml:space="preserve"> and PacBio match, in RR1 and RR2</w:t>
            </w:r>
          </w:p>
        </w:tc>
        <w:tc>
          <w:tcPr>
            <w:tcW w:w="13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38645C9E" w14:textId="77777777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355</w:t>
            </w:r>
          </w:p>
        </w:tc>
        <w:tc>
          <w:tcPr>
            <w:tcW w:w="10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7D41E346" w14:textId="77777777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1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63B8F860" w14:textId="77777777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575</w:t>
            </w:r>
          </w:p>
        </w:tc>
        <w:tc>
          <w:tcPr>
            <w:tcW w:w="1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4A1D7622" w14:textId="77777777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</w:tbl>
    <w:p w14:paraId="6344EBBC" w14:textId="77777777" w:rsidR="000144E9" w:rsidRPr="000144E9" w:rsidRDefault="000144E9" w:rsidP="002173A2">
      <w:pPr>
        <w:pStyle w:val="ListParagraph"/>
        <w:spacing w:line="360" w:lineRule="auto"/>
        <w:ind w:left="0"/>
        <w:rPr>
          <w:rFonts w:ascii="Times New Roman" w:hAnsi="Times New Roman" w:cs="Times New Roman"/>
          <w:bCs/>
          <w:iCs/>
          <w:sz w:val="24"/>
          <w:szCs w:val="24"/>
        </w:rPr>
      </w:pPr>
      <w:r w:rsidRPr="000144E9">
        <w:rPr>
          <w:rFonts w:ascii="Times New Roman" w:hAnsi="Times New Roman" w:cs="Times New Roman"/>
          <w:bCs/>
          <w:iCs/>
          <w:sz w:val="24"/>
          <w:szCs w:val="24"/>
        </w:rPr>
        <w:t>RR1= 100% events detected, APN&gt;0</w:t>
      </w:r>
    </w:p>
    <w:p w14:paraId="149CA6CC" w14:textId="661463EF" w:rsidR="001A43D4" w:rsidRPr="000144E9" w:rsidRDefault="000144E9" w:rsidP="002173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144E9">
        <w:rPr>
          <w:rFonts w:ascii="Times New Roman" w:hAnsi="Times New Roman" w:cs="Times New Roman"/>
          <w:bCs/>
          <w:iCs/>
          <w:sz w:val="24"/>
          <w:szCs w:val="24"/>
        </w:rPr>
        <w:t>RR2= &gt;=75% events detected, APN&gt;=5</w:t>
      </w:r>
    </w:p>
    <w:p w14:paraId="58B7959B" w14:textId="77777777" w:rsidR="001A43D4" w:rsidRDefault="001A43D4" w:rsidP="002173A2">
      <w:pPr>
        <w:pStyle w:val="ListParagraph"/>
        <w:spacing w:line="36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374AC375" w14:textId="77777777" w:rsidR="000144E9" w:rsidRDefault="000144E9" w:rsidP="002173A2">
      <w:pPr>
        <w:pStyle w:val="ListParagraph"/>
        <w:spacing w:line="36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4A392E1A" w14:textId="77777777" w:rsidR="000144E9" w:rsidRPr="008F5E4B" w:rsidRDefault="000144E9" w:rsidP="002173A2">
      <w:pPr>
        <w:pStyle w:val="ListParagraph"/>
        <w:spacing w:line="36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15F34FAD" w14:textId="27263793" w:rsidR="001A43D4" w:rsidRPr="008F5E4B" w:rsidRDefault="007C66FC" w:rsidP="002173A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bookmarkStart w:id="3" w:name="__DdeLink__22913_1869813700"/>
      <w:bookmarkEnd w:id="3"/>
      <w:r w:rsidRPr="008F5E4B">
        <w:rPr>
          <w:rFonts w:ascii="Times New Roman" w:hAnsi="Times New Roman" w:cs="Times New Roman"/>
          <w:b/>
          <w:sz w:val="24"/>
          <w:szCs w:val="24"/>
        </w:rPr>
        <w:t xml:space="preserve">Table </w:t>
      </w:r>
      <w:r w:rsidR="008F5E4B" w:rsidRPr="008F5E4B">
        <w:rPr>
          <w:rFonts w:ascii="Times New Roman" w:hAnsi="Times New Roman" w:cs="Times New Roman"/>
          <w:b/>
          <w:sz w:val="24"/>
          <w:szCs w:val="24"/>
        </w:rPr>
        <w:t>S4.</w:t>
      </w:r>
      <w:r w:rsidR="000144E9">
        <w:rPr>
          <w:rFonts w:ascii="Times New Roman" w:hAnsi="Times New Roman" w:cs="Times New Roman"/>
          <w:b/>
          <w:sz w:val="24"/>
          <w:szCs w:val="24"/>
        </w:rPr>
        <w:t>4</w:t>
      </w:r>
      <w:r w:rsidRPr="008F5E4B">
        <w:rPr>
          <w:rFonts w:ascii="Times New Roman" w:hAnsi="Times New Roman" w:cs="Times New Roman"/>
          <w:b/>
          <w:sz w:val="24"/>
          <w:szCs w:val="24"/>
        </w:rPr>
        <w:t>. 23</w:t>
      </w:r>
      <w:r w:rsidR="000144E9">
        <w:rPr>
          <w:rFonts w:ascii="Times New Roman" w:hAnsi="Times New Roman" w:cs="Times New Roman"/>
          <w:b/>
          <w:sz w:val="24"/>
          <w:szCs w:val="24"/>
        </w:rPr>
        <w:t>,</w:t>
      </w:r>
      <w:r w:rsidRPr="008F5E4B">
        <w:rPr>
          <w:rFonts w:ascii="Times New Roman" w:hAnsi="Times New Roman" w:cs="Times New Roman"/>
          <w:b/>
          <w:sz w:val="24"/>
          <w:szCs w:val="24"/>
        </w:rPr>
        <w:t>43</w:t>
      </w:r>
      <w:r w:rsidR="008F5E4B" w:rsidRPr="008F5E4B">
        <w:rPr>
          <w:rFonts w:ascii="Times New Roman" w:hAnsi="Times New Roman" w:cs="Times New Roman"/>
          <w:b/>
          <w:sz w:val="24"/>
          <w:szCs w:val="24"/>
        </w:rPr>
        <w:t xml:space="preserve">8 distinct </w:t>
      </w:r>
      <w:proofErr w:type="spellStart"/>
      <w:r w:rsidR="008F5E4B" w:rsidRPr="008F5E4B">
        <w:rPr>
          <w:rFonts w:ascii="Times New Roman" w:hAnsi="Times New Roman" w:cs="Times New Roman"/>
          <w:b/>
          <w:sz w:val="24"/>
          <w:szCs w:val="24"/>
        </w:rPr>
        <w:t>iReckon</w:t>
      </w:r>
      <w:proofErr w:type="spellEnd"/>
      <w:r w:rsidR="008F5E4B" w:rsidRPr="008F5E4B">
        <w:rPr>
          <w:rFonts w:ascii="Times New Roman" w:hAnsi="Times New Roman" w:cs="Times New Roman"/>
          <w:b/>
          <w:sz w:val="24"/>
          <w:szCs w:val="24"/>
        </w:rPr>
        <w:t xml:space="preserve"> transcripts f</w:t>
      </w:r>
      <w:r w:rsidRPr="008F5E4B">
        <w:rPr>
          <w:rFonts w:ascii="Times New Roman" w:hAnsi="Times New Roman" w:cs="Times New Roman"/>
          <w:b/>
          <w:sz w:val="24"/>
          <w:szCs w:val="24"/>
        </w:rPr>
        <w:t>rom the mouse NPC data:</w:t>
      </w:r>
    </w:p>
    <w:tbl>
      <w:tblPr>
        <w:tblW w:w="9083" w:type="dxa"/>
        <w:tblInd w:w="-3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left w:w="22" w:type="dxa"/>
          <w:right w:w="29" w:type="dxa"/>
        </w:tblCellMar>
        <w:tblLook w:val="04A0" w:firstRow="1" w:lastRow="0" w:firstColumn="1" w:lastColumn="0" w:noHBand="0" w:noVBand="1"/>
      </w:tblPr>
      <w:tblGrid>
        <w:gridCol w:w="3333"/>
        <w:gridCol w:w="1167"/>
        <w:gridCol w:w="983"/>
        <w:gridCol w:w="1800"/>
        <w:gridCol w:w="1800"/>
      </w:tblGrid>
      <w:tr w:rsidR="001A43D4" w:rsidRPr="008F5E4B" w14:paraId="06A447EF" w14:textId="77777777">
        <w:trPr>
          <w:trHeight w:val="256"/>
        </w:trPr>
        <w:tc>
          <w:tcPr>
            <w:tcW w:w="33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324456B2" w14:textId="77777777" w:rsidR="001A43D4" w:rsidRPr="008F5E4B" w:rsidRDefault="007C66FC" w:rsidP="002173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b/>
                <w:sz w:val="24"/>
                <w:szCs w:val="24"/>
              </w:rPr>
              <w:t>Transcript type</w:t>
            </w:r>
          </w:p>
        </w:tc>
        <w:tc>
          <w:tcPr>
            <w:tcW w:w="11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02BEC302" w14:textId="77777777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b/>
                <w:sz w:val="24"/>
                <w:szCs w:val="24"/>
              </w:rPr>
              <w:t>NPC1</w:t>
            </w:r>
          </w:p>
        </w:tc>
        <w:tc>
          <w:tcPr>
            <w:tcW w:w="9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6B4BDD1F" w14:textId="77777777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b/>
                <w:sz w:val="24"/>
                <w:szCs w:val="24"/>
              </w:rPr>
              <w:t>NPC2</w:t>
            </w:r>
          </w:p>
        </w:tc>
        <w:tc>
          <w:tcPr>
            <w:tcW w:w="1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586ECD59" w14:textId="77777777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NSC1 </w:t>
            </w:r>
            <w:r w:rsidRPr="008F5E4B">
              <w:rPr>
                <w:rFonts w:ascii="Cambria Math" w:hAnsi="Cambria Math" w:cs="Cambria Math"/>
                <w:b/>
                <w:sz w:val="24"/>
                <w:szCs w:val="24"/>
              </w:rPr>
              <w:t>∪</w:t>
            </w:r>
            <w:r w:rsidRPr="008F5E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NSC2</w:t>
            </w:r>
          </w:p>
        </w:tc>
        <w:tc>
          <w:tcPr>
            <w:tcW w:w="1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2DC8AD12" w14:textId="77777777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b/>
                <w:sz w:val="24"/>
                <w:szCs w:val="24"/>
              </w:rPr>
              <w:t>NSC1 ∩ NSC2</w:t>
            </w:r>
          </w:p>
        </w:tc>
      </w:tr>
      <w:tr w:rsidR="001A43D4" w:rsidRPr="008F5E4B" w14:paraId="68CF81D5" w14:textId="77777777">
        <w:trPr>
          <w:trHeight w:val="256"/>
        </w:trPr>
        <w:tc>
          <w:tcPr>
            <w:tcW w:w="33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67685EBC" w14:textId="77777777" w:rsidR="001A43D4" w:rsidRPr="008F5E4B" w:rsidRDefault="007C66FC" w:rsidP="002173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Known transcript (NM/NR/XM/XR)</w:t>
            </w:r>
          </w:p>
        </w:tc>
        <w:tc>
          <w:tcPr>
            <w:tcW w:w="11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2A073401" w14:textId="77777777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837</w:t>
            </w:r>
          </w:p>
        </w:tc>
        <w:tc>
          <w:tcPr>
            <w:tcW w:w="9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7162DECE" w14:textId="77777777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664</w:t>
            </w:r>
          </w:p>
        </w:tc>
        <w:tc>
          <w:tcPr>
            <w:tcW w:w="1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790A79DF" w14:textId="052111AD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A29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361</w:t>
            </w:r>
          </w:p>
        </w:tc>
        <w:tc>
          <w:tcPr>
            <w:tcW w:w="1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21F255BA" w14:textId="77777777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</w:tr>
      <w:tr w:rsidR="001A43D4" w:rsidRPr="008F5E4B" w14:paraId="4AD18A0A" w14:textId="77777777">
        <w:trPr>
          <w:trHeight w:val="256"/>
        </w:trPr>
        <w:tc>
          <w:tcPr>
            <w:tcW w:w="33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7BB4AA3B" w14:textId="77777777" w:rsidR="001A43D4" w:rsidRPr="008F5E4B" w:rsidRDefault="007C66FC" w:rsidP="002173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Known transcript with intron retention</w:t>
            </w:r>
          </w:p>
        </w:tc>
        <w:tc>
          <w:tcPr>
            <w:tcW w:w="11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5CF3A22D" w14:textId="77777777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9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09A18539" w14:textId="77777777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14808C43" w14:textId="77777777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2291B4CB" w14:textId="77777777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A43D4" w:rsidRPr="008F5E4B" w14:paraId="7C2DC0A0" w14:textId="77777777">
        <w:trPr>
          <w:trHeight w:val="256"/>
        </w:trPr>
        <w:tc>
          <w:tcPr>
            <w:tcW w:w="33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63A9879C" w14:textId="77777777" w:rsidR="001A43D4" w:rsidRPr="008F5E4B" w:rsidRDefault="007C66FC" w:rsidP="002173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Novel isoform</w:t>
            </w:r>
          </w:p>
        </w:tc>
        <w:tc>
          <w:tcPr>
            <w:tcW w:w="11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79C44DAD" w14:textId="4587B97F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A29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080</w:t>
            </w:r>
          </w:p>
        </w:tc>
        <w:tc>
          <w:tcPr>
            <w:tcW w:w="9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7AE4D629" w14:textId="60AFC18F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A29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1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37F8EDE3" w14:textId="02E4230B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2A29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63CAF534" w14:textId="77777777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</w:tr>
      <w:tr w:rsidR="001A43D4" w:rsidRPr="008F5E4B" w14:paraId="4E88DCA6" w14:textId="77777777">
        <w:trPr>
          <w:trHeight w:val="256"/>
        </w:trPr>
        <w:tc>
          <w:tcPr>
            <w:tcW w:w="33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0243BA2E" w14:textId="77777777" w:rsidR="001A43D4" w:rsidRPr="008F5E4B" w:rsidRDefault="007C66FC" w:rsidP="002173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Novel isoform with intron retention</w:t>
            </w:r>
          </w:p>
        </w:tc>
        <w:tc>
          <w:tcPr>
            <w:tcW w:w="11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7B4A3A85" w14:textId="3CA3357E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A29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543</w:t>
            </w:r>
          </w:p>
        </w:tc>
        <w:tc>
          <w:tcPr>
            <w:tcW w:w="9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69B3E8EB" w14:textId="51A1861F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A29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063</w:t>
            </w:r>
          </w:p>
        </w:tc>
        <w:tc>
          <w:tcPr>
            <w:tcW w:w="1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35FB5FCE" w14:textId="5C4801A2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A29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583</w:t>
            </w:r>
          </w:p>
        </w:tc>
        <w:tc>
          <w:tcPr>
            <w:tcW w:w="1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079732EA" w14:textId="77777777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1A43D4" w:rsidRPr="008F5E4B" w14:paraId="53AB27B0" w14:textId="77777777">
        <w:trPr>
          <w:trHeight w:val="256"/>
        </w:trPr>
        <w:tc>
          <w:tcPr>
            <w:tcW w:w="33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7385BB7F" w14:textId="77777777" w:rsidR="001A43D4" w:rsidRPr="008F5E4B" w:rsidRDefault="007C66FC" w:rsidP="002173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 xml:space="preserve">Novel </w:t>
            </w:r>
            <w:proofErr w:type="spellStart"/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unspliced</w:t>
            </w:r>
            <w:proofErr w:type="spellEnd"/>
            <w:r w:rsidRPr="008F5E4B">
              <w:rPr>
                <w:rFonts w:ascii="Times New Roman" w:hAnsi="Times New Roman" w:cs="Times New Roman"/>
                <w:sz w:val="24"/>
                <w:szCs w:val="24"/>
              </w:rPr>
              <w:t xml:space="preserve"> isoform</w:t>
            </w:r>
          </w:p>
        </w:tc>
        <w:tc>
          <w:tcPr>
            <w:tcW w:w="11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6C76E641" w14:textId="3B669B22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A29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</w:p>
        </w:tc>
        <w:tc>
          <w:tcPr>
            <w:tcW w:w="9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286C33D7" w14:textId="3C198DED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A29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528</w:t>
            </w:r>
          </w:p>
        </w:tc>
        <w:tc>
          <w:tcPr>
            <w:tcW w:w="1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5A0D8C0E" w14:textId="51737C0B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A29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54C2E3D4" w14:textId="4F4FD040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A29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</w:tr>
      <w:tr w:rsidR="001A43D4" w:rsidRPr="008F5E4B" w14:paraId="01EB730D" w14:textId="77777777">
        <w:trPr>
          <w:trHeight w:val="256"/>
        </w:trPr>
        <w:tc>
          <w:tcPr>
            <w:tcW w:w="33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681E6573" w14:textId="77777777" w:rsidR="001A43D4" w:rsidRPr="008F5E4B" w:rsidRDefault="007C66FC" w:rsidP="002173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1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7126D6CC" w14:textId="6A5A3F9D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2A29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  <w:tc>
          <w:tcPr>
            <w:tcW w:w="9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7A0B5122" w14:textId="2BFDA116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A29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582</w:t>
            </w:r>
          </w:p>
        </w:tc>
        <w:tc>
          <w:tcPr>
            <w:tcW w:w="1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1F347D77" w14:textId="566A83D1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2A29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438</w:t>
            </w:r>
          </w:p>
        </w:tc>
        <w:tc>
          <w:tcPr>
            <w:tcW w:w="1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2" w:type="dxa"/>
            </w:tcMar>
            <w:vAlign w:val="bottom"/>
          </w:tcPr>
          <w:p w14:paraId="3BBDF84D" w14:textId="43F51399" w:rsidR="001A43D4" w:rsidRPr="008F5E4B" w:rsidRDefault="007C66FC" w:rsidP="002173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A29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F5E4B">
              <w:rPr>
                <w:rFonts w:ascii="Times New Roman" w:hAnsi="Times New Roman" w:cs="Times New Roman"/>
                <w:sz w:val="24"/>
                <w:szCs w:val="24"/>
              </w:rPr>
              <w:t>462</w:t>
            </w:r>
          </w:p>
        </w:tc>
      </w:tr>
    </w:tbl>
    <w:p w14:paraId="40A95B5E" w14:textId="77777777" w:rsidR="001A43D4" w:rsidRPr="008F5E4B" w:rsidRDefault="001A43D4" w:rsidP="002173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C22EDFB" w14:textId="77777777" w:rsidR="001A43D4" w:rsidRPr="008F5E4B" w:rsidRDefault="007C66FC" w:rsidP="002173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5E4B">
        <w:rPr>
          <w:rFonts w:ascii="Times New Roman" w:hAnsi="Times New Roman" w:cs="Times New Roman"/>
          <w:iCs/>
          <w:sz w:val="24"/>
          <w:szCs w:val="24"/>
        </w:rPr>
        <w:t xml:space="preserve">23438 distinct </w:t>
      </w:r>
      <w:proofErr w:type="spellStart"/>
      <w:r w:rsidRPr="008F5E4B">
        <w:rPr>
          <w:rFonts w:ascii="Times New Roman" w:hAnsi="Times New Roman" w:cs="Times New Roman"/>
          <w:iCs/>
          <w:sz w:val="24"/>
          <w:szCs w:val="24"/>
        </w:rPr>
        <w:t>iReckon</w:t>
      </w:r>
      <w:proofErr w:type="spellEnd"/>
      <w:r w:rsidRPr="008F5E4B">
        <w:rPr>
          <w:rFonts w:ascii="Times New Roman" w:hAnsi="Times New Roman" w:cs="Times New Roman"/>
          <w:iCs/>
          <w:sz w:val="24"/>
          <w:szCs w:val="24"/>
        </w:rPr>
        <w:t xml:space="preserve"> transcripts From the mouse NPC data:</w:t>
      </w:r>
    </w:p>
    <w:p w14:paraId="231095F2" w14:textId="77777777" w:rsidR="001A43D4" w:rsidRPr="008F5E4B" w:rsidRDefault="007C66FC" w:rsidP="002173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5E4B">
        <w:rPr>
          <w:rFonts w:ascii="Times New Roman" w:hAnsi="Times New Roman" w:cs="Times New Roman"/>
          <w:iCs/>
          <w:sz w:val="24"/>
          <w:szCs w:val="24"/>
        </w:rPr>
        <w:t xml:space="preserve">“Transcript type” is called on the basis of the transcript ID assigned by </w:t>
      </w:r>
      <w:proofErr w:type="spellStart"/>
      <w:r w:rsidRPr="008F5E4B">
        <w:rPr>
          <w:rFonts w:ascii="Times New Roman" w:hAnsi="Times New Roman" w:cs="Times New Roman"/>
          <w:iCs/>
          <w:sz w:val="24"/>
          <w:szCs w:val="24"/>
        </w:rPr>
        <w:t>iReckon</w:t>
      </w:r>
      <w:proofErr w:type="spellEnd"/>
      <w:r w:rsidRPr="008F5E4B">
        <w:rPr>
          <w:rFonts w:ascii="Times New Roman" w:hAnsi="Times New Roman" w:cs="Times New Roman"/>
          <w:iCs/>
          <w:sz w:val="24"/>
          <w:szCs w:val="24"/>
        </w:rPr>
        <w:t>.</w:t>
      </w:r>
    </w:p>
    <w:p w14:paraId="4E551DA2" w14:textId="77777777" w:rsidR="001A43D4" w:rsidRPr="008F5E4B" w:rsidRDefault="007C66FC" w:rsidP="002173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5E4B">
        <w:rPr>
          <w:rFonts w:ascii="Times New Roman" w:hAnsi="Times New Roman" w:cs="Times New Roman"/>
          <w:iCs/>
          <w:sz w:val="24"/>
          <w:szCs w:val="24"/>
        </w:rPr>
        <w:t xml:space="preserve">Transcripts with a </w:t>
      </w:r>
      <w:proofErr w:type="spellStart"/>
      <w:r w:rsidRPr="008F5E4B">
        <w:rPr>
          <w:rFonts w:ascii="Times New Roman" w:hAnsi="Times New Roman" w:cs="Times New Roman"/>
          <w:iCs/>
          <w:sz w:val="24"/>
          <w:szCs w:val="24"/>
        </w:rPr>
        <w:t>RefSeq</w:t>
      </w:r>
      <w:proofErr w:type="spellEnd"/>
      <w:r w:rsidRPr="008F5E4B">
        <w:rPr>
          <w:rFonts w:ascii="Times New Roman" w:hAnsi="Times New Roman" w:cs="Times New Roman"/>
          <w:iCs/>
          <w:sz w:val="24"/>
          <w:szCs w:val="24"/>
        </w:rPr>
        <w:t xml:space="preserve"> accession ID in their </w:t>
      </w:r>
      <w:proofErr w:type="spellStart"/>
      <w:r w:rsidRPr="008F5E4B">
        <w:rPr>
          <w:rFonts w:ascii="Times New Roman" w:hAnsi="Times New Roman" w:cs="Times New Roman"/>
          <w:iCs/>
          <w:sz w:val="24"/>
          <w:szCs w:val="24"/>
        </w:rPr>
        <w:t>iReckon</w:t>
      </w:r>
      <w:proofErr w:type="spellEnd"/>
      <w:r w:rsidRPr="008F5E4B">
        <w:rPr>
          <w:rFonts w:ascii="Times New Roman" w:hAnsi="Times New Roman" w:cs="Times New Roman"/>
          <w:iCs/>
          <w:sz w:val="24"/>
          <w:szCs w:val="24"/>
        </w:rPr>
        <w:t xml:space="preserve"> ID are the “known” transcript types</w:t>
      </w:r>
    </w:p>
    <w:p w14:paraId="325EBCF3" w14:textId="77777777" w:rsidR="001A43D4" w:rsidRPr="008F5E4B" w:rsidRDefault="007C66FC" w:rsidP="002173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5E4B">
        <w:rPr>
          <w:rFonts w:ascii="Times New Roman" w:hAnsi="Times New Roman" w:cs="Times New Roman"/>
          <w:iCs/>
          <w:sz w:val="24"/>
          <w:szCs w:val="24"/>
        </w:rPr>
        <w:t>Transcripts with “</w:t>
      </w:r>
      <w:proofErr w:type="spellStart"/>
      <w:r w:rsidRPr="008F5E4B">
        <w:rPr>
          <w:rFonts w:ascii="Times New Roman" w:hAnsi="Times New Roman" w:cs="Times New Roman"/>
          <w:iCs/>
          <w:sz w:val="24"/>
          <w:szCs w:val="24"/>
        </w:rPr>
        <w:t>IntronRetention</w:t>
      </w:r>
      <w:proofErr w:type="spellEnd"/>
      <w:r w:rsidRPr="008F5E4B">
        <w:rPr>
          <w:rFonts w:ascii="Times New Roman" w:hAnsi="Times New Roman" w:cs="Times New Roman"/>
          <w:iCs/>
          <w:sz w:val="24"/>
          <w:szCs w:val="24"/>
        </w:rPr>
        <w:t xml:space="preserve">” in their </w:t>
      </w:r>
      <w:proofErr w:type="spellStart"/>
      <w:r w:rsidRPr="008F5E4B">
        <w:rPr>
          <w:rFonts w:ascii="Times New Roman" w:hAnsi="Times New Roman" w:cs="Times New Roman"/>
          <w:iCs/>
          <w:sz w:val="24"/>
          <w:szCs w:val="24"/>
        </w:rPr>
        <w:t>iReckon</w:t>
      </w:r>
      <w:proofErr w:type="spellEnd"/>
      <w:r w:rsidRPr="008F5E4B">
        <w:rPr>
          <w:rFonts w:ascii="Times New Roman" w:hAnsi="Times New Roman" w:cs="Times New Roman"/>
          <w:iCs/>
          <w:sz w:val="24"/>
          <w:szCs w:val="24"/>
        </w:rPr>
        <w:t xml:space="preserve"> ID are the “intron retention” transcript </w:t>
      </w:r>
      <w:proofErr w:type="spellStart"/>
      <w:r w:rsidRPr="008F5E4B">
        <w:rPr>
          <w:rFonts w:ascii="Times New Roman" w:hAnsi="Times New Roman" w:cs="Times New Roman"/>
          <w:iCs/>
          <w:sz w:val="24"/>
          <w:szCs w:val="24"/>
        </w:rPr>
        <w:t>tpyes</w:t>
      </w:r>
      <w:proofErr w:type="spellEnd"/>
    </w:p>
    <w:p w14:paraId="77837BBC" w14:textId="77777777" w:rsidR="001A43D4" w:rsidRPr="008F5E4B" w:rsidRDefault="007C66FC" w:rsidP="002173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5E4B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Transcripts with “Novel” in their </w:t>
      </w:r>
      <w:proofErr w:type="spellStart"/>
      <w:r w:rsidRPr="008F5E4B">
        <w:rPr>
          <w:rFonts w:ascii="Times New Roman" w:hAnsi="Times New Roman" w:cs="Times New Roman"/>
          <w:iCs/>
          <w:sz w:val="24"/>
          <w:szCs w:val="24"/>
        </w:rPr>
        <w:t>iReckon</w:t>
      </w:r>
      <w:proofErr w:type="spellEnd"/>
      <w:r w:rsidRPr="008F5E4B">
        <w:rPr>
          <w:rFonts w:ascii="Times New Roman" w:hAnsi="Times New Roman" w:cs="Times New Roman"/>
          <w:iCs/>
          <w:sz w:val="24"/>
          <w:szCs w:val="24"/>
        </w:rPr>
        <w:t xml:space="preserve"> ID are the “novel” transcript types</w:t>
      </w:r>
    </w:p>
    <w:p w14:paraId="58ACD2AD" w14:textId="77777777" w:rsidR="002173A2" w:rsidRDefault="007C66FC" w:rsidP="002173A2">
      <w:pPr>
        <w:spacing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8F5E4B">
        <w:rPr>
          <w:rFonts w:ascii="Times New Roman" w:hAnsi="Times New Roman" w:cs="Times New Roman"/>
          <w:iCs/>
          <w:sz w:val="24"/>
          <w:szCs w:val="24"/>
        </w:rPr>
        <w:t>Transcripts with “</w:t>
      </w:r>
      <w:proofErr w:type="spellStart"/>
      <w:r w:rsidRPr="008F5E4B">
        <w:rPr>
          <w:rFonts w:ascii="Times New Roman" w:hAnsi="Times New Roman" w:cs="Times New Roman"/>
          <w:iCs/>
          <w:sz w:val="24"/>
          <w:szCs w:val="24"/>
        </w:rPr>
        <w:t>unspliced</w:t>
      </w:r>
      <w:proofErr w:type="spellEnd"/>
      <w:r w:rsidRPr="008F5E4B">
        <w:rPr>
          <w:rFonts w:ascii="Times New Roman" w:hAnsi="Times New Roman" w:cs="Times New Roman"/>
          <w:iCs/>
          <w:sz w:val="24"/>
          <w:szCs w:val="24"/>
        </w:rPr>
        <w:t xml:space="preserve">” in their </w:t>
      </w:r>
      <w:proofErr w:type="spellStart"/>
      <w:r w:rsidRPr="008F5E4B">
        <w:rPr>
          <w:rFonts w:ascii="Times New Roman" w:hAnsi="Times New Roman" w:cs="Times New Roman"/>
          <w:iCs/>
          <w:sz w:val="24"/>
          <w:szCs w:val="24"/>
        </w:rPr>
        <w:t>iReckon</w:t>
      </w:r>
      <w:proofErr w:type="spellEnd"/>
      <w:r w:rsidRPr="008F5E4B">
        <w:rPr>
          <w:rFonts w:ascii="Times New Roman" w:hAnsi="Times New Roman" w:cs="Times New Roman"/>
          <w:iCs/>
          <w:sz w:val="24"/>
          <w:szCs w:val="24"/>
        </w:rPr>
        <w:t xml:space="preserve"> ID are the “</w:t>
      </w:r>
      <w:proofErr w:type="spellStart"/>
      <w:r w:rsidRPr="008F5E4B">
        <w:rPr>
          <w:rFonts w:ascii="Times New Roman" w:hAnsi="Times New Roman" w:cs="Times New Roman"/>
          <w:iCs/>
          <w:sz w:val="24"/>
          <w:szCs w:val="24"/>
        </w:rPr>
        <w:t>unspliced</w:t>
      </w:r>
      <w:proofErr w:type="spellEnd"/>
      <w:r w:rsidRPr="008F5E4B">
        <w:rPr>
          <w:rFonts w:ascii="Times New Roman" w:hAnsi="Times New Roman" w:cs="Times New Roman"/>
          <w:iCs/>
          <w:sz w:val="24"/>
          <w:szCs w:val="24"/>
        </w:rPr>
        <w:t>” transcripts</w:t>
      </w:r>
    </w:p>
    <w:p w14:paraId="1E47E284" w14:textId="77777777" w:rsidR="002173A2" w:rsidRDefault="002173A2" w:rsidP="00017223">
      <w:pPr>
        <w:spacing w:line="360" w:lineRule="auto"/>
        <w:rPr>
          <w:rFonts w:ascii="Times New Roman" w:hAnsi="Times New Roman" w:cs="Times New Roman"/>
          <w:iCs/>
          <w:sz w:val="24"/>
          <w:szCs w:val="24"/>
        </w:rPr>
      </w:pPr>
    </w:p>
    <w:p w14:paraId="6771A15D" w14:textId="2C0334AF" w:rsidR="002173A2" w:rsidRPr="002173A2" w:rsidRDefault="002173A2" w:rsidP="00017223">
      <w:pPr>
        <w:spacing w:line="360" w:lineRule="auto"/>
        <w:rPr>
          <w:rFonts w:ascii="Times New Roman" w:hAnsi="Times New Roman" w:cs="Times New Roman"/>
          <w:b/>
          <w:iCs/>
          <w:sz w:val="28"/>
          <w:szCs w:val="24"/>
        </w:rPr>
      </w:pPr>
      <w:r w:rsidRPr="002173A2">
        <w:rPr>
          <w:rFonts w:ascii="Times New Roman" w:hAnsi="Times New Roman" w:cs="Times New Roman"/>
          <w:b/>
          <w:iCs/>
          <w:sz w:val="28"/>
          <w:szCs w:val="24"/>
        </w:rPr>
        <w:t>References</w:t>
      </w:r>
    </w:p>
    <w:p w14:paraId="2C63F76A" w14:textId="77777777" w:rsidR="002173A2" w:rsidRPr="002173A2" w:rsidRDefault="002173A2" w:rsidP="002173A2">
      <w:pPr>
        <w:pStyle w:val="EndNoteBibliography"/>
        <w:spacing w:after="0"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2173A2">
        <w:rPr>
          <w:rFonts w:ascii="Times New Roman" w:hAnsi="Times New Roman" w:cs="Times New Roman"/>
          <w:sz w:val="24"/>
          <w:szCs w:val="24"/>
        </w:rPr>
        <w:fldChar w:fldCharType="begin"/>
      </w:r>
      <w:r w:rsidRPr="002173A2">
        <w:rPr>
          <w:rFonts w:ascii="Times New Roman" w:hAnsi="Times New Roman" w:cs="Times New Roman"/>
          <w:sz w:val="24"/>
          <w:szCs w:val="24"/>
        </w:rPr>
        <w:instrText xml:space="preserve"> ADDIN EN.REFLIST </w:instrText>
      </w:r>
      <w:r w:rsidRPr="002173A2">
        <w:rPr>
          <w:rFonts w:ascii="Times New Roman" w:hAnsi="Times New Roman" w:cs="Times New Roman"/>
          <w:sz w:val="24"/>
          <w:szCs w:val="24"/>
        </w:rPr>
        <w:fldChar w:fldCharType="separate"/>
      </w:r>
      <w:r w:rsidRPr="002173A2">
        <w:rPr>
          <w:rFonts w:ascii="Times New Roman" w:hAnsi="Times New Roman" w:cs="Times New Roman"/>
          <w:sz w:val="24"/>
          <w:szCs w:val="24"/>
        </w:rPr>
        <w:t>1.</w:t>
      </w:r>
      <w:r w:rsidRPr="002173A2">
        <w:rPr>
          <w:rFonts w:ascii="Times New Roman" w:hAnsi="Times New Roman" w:cs="Times New Roman"/>
          <w:sz w:val="24"/>
          <w:szCs w:val="24"/>
        </w:rPr>
        <w:tab/>
        <w:t xml:space="preserve">Quinlan AR, Hall IM: </w:t>
      </w:r>
      <w:r w:rsidRPr="002173A2">
        <w:rPr>
          <w:rFonts w:ascii="Times New Roman" w:hAnsi="Times New Roman" w:cs="Times New Roman"/>
          <w:b/>
          <w:sz w:val="24"/>
          <w:szCs w:val="24"/>
        </w:rPr>
        <w:t>BEDTools: a flexible suite of utilities for comparing genomic features</w:t>
      </w:r>
      <w:r w:rsidRPr="002173A2">
        <w:rPr>
          <w:rFonts w:ascii="Times New Roman" w:hAnsi="Times New Roman" w:cs="Times New Roman"/>
          <w:sz w:val="24"/>
          <w:szCs w:val="24"/>
        </w:rPr>
        <w:t xml:space="preserve">. </w:t>
      </w:r>
      <w:r w:rsidRPr="002173A2">
        <w:rPr>
          <w:rFonts w:ascii="Times New Roman" w:hAnsi="Times New Roman" w:cs="Times New Roman"/>
          <w:i/>
          <w:sz w:val="24"/>
          <w:szCs w:val="24"/>
        </w:rPr>
        <w:t xml:space="preserve">Bioinformatics </w:t>
      </w:r>
      <w:r w:rsidRPr="002173A2">
        <w:rPr>
          <w:rFonts w:ascii="Times New Roman" w:hAnsi="Times New Roman" w:cs="Times New Roman"/>
          <w:sz w:val="24"/>
          <w:szCs w:val="24"/>
        </w:rPr>
        <w:t xml:space="preserve">2010, </w:t>
      </w:r>
      <w:r w:rsidRPr="002173A2">
        <w:rPr>
          <w:rFonts w:ascii="Times New Roman" w:hAnsi="Times New Roman" w:cs="Times New Roman"/>
          <w:b/>
          <w:sz w:val="24"/>
          <w:szCs w:val="24"/>
        </w:rPr>
        <w:t>26</w:t>
      </w:r>
      <w:r w:rsidRPr="002173A2">
        <w:rPr>
          <w:rFonts w:ascii="Times New Roman" w:hAnsi="Times New Roman" w:cs="Times New Roman"/>
          <w:sz w:val="24"/>
          <w:szCs w:val="24"/>
        </w:rPr>
        <w:t>(6):841-842.</w:t>
      </w:r>
    </w:p>
    <w:p w14:paraId="790D906D" w14:textId="77777777" w:rsidR="002173A2" w:rsidRPr="002173A2" w:rsidRDefault="002173A2" w:rsidP="002173A2">
      <w:pPr>
        <w:pStyle w:val="EndNoteBibliography"/>
        <w:spacing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2173A2">
        <w:rPr>
          <w:rFonts w:ascii="Times New Roman" w:hAnsi="Times New Roman" w:cs="Times New Roman"/>
          <w:sz w:val="24"/>
          <w:szCs w:val="24"/>
        </w:rPr>
        <w:t>2.</w:t>
      </w:r>
      <w:r w:rsidRPr="002173A2">
        <w:rPr>
          <w:rFonts w:ascii="Times New Roman" w:hAnsi="Times New Roman" w:cs="Times New Roman"/>
          <w:sz w:val="24"/>
          <w:szCs w:val="24"/>
        </w:rPr>
        <w:tab/>
        <w:t>Tardaguila M, de la Fuente L, Marti C, Pereira C, Pardo-Palacios FJ, del Risco H, Ferrell M, Mellado M, Macchietto M, Verheggen K</w:t>
      </w:r>
      <w:r w:rsidRPr="002173A2">
        <w:rPr>
          <w:rFonts w:ascii="Times New Roman" w:hAnsi="Times New Roman" w:cs="Times New Roman"/>
          <w:i/>
          <w:sz w:val="24"/>
          <w:szCs w:val="24"/>
        </w:rPr>
        <w:t xml:space="preserve"> et al</w:t>
      </w:r>
      <w:r w:rsidRPr="002173A2">
        <w:rPr>
          <w:rFonts w:ascii="Times New Roman" w:hAnsi="Times New Roman" w:cs="Times New Roman"/>
          <w:sz w:val="24"/>
          <w:szCs w:val="24"/>
        </w:rPr>
        <w:t xml:space="preserve">: </w:t>
      </w:r>
      <w:r w:rsidRPr="002173A2">
        <w:rPr>
          <w:rFonts w:ascii="Times New Roman" w:hAnsi="Times New Roman" w:cs="Times New Roman"/>
          <w:b/>
          <w:sz w:val="24"/>
          <w:szCs w:val="24"/>
        </w:rPr>
        <w:t>SQANTI: extensive characterization of long-read transcript sequences for quality control in full-length transcriptome identification and quantification</w:t>
      </w:r>
      <w:r w:rsidRPr="002173A2">
        <w:rPr>
          <w:rFonts w:ascii="Times New Roman" w:hAnsi="Times New Roman" w:cs="Times New Roman"/>
          <w:sz w:val="24"/>
          <w:szCs w:val="24"/>
        </w:rPr>
        <w:t xml:space="preserve">. </w:t>
      </w:r>
      <w:r w:rsidRPr="002173A2">
        <w:rPr>
          <w:rFonts w:ascii="Times New Roman" w:hAnsi="Times New Roman" w:cs="Times New Roman"/>
          <w:i/>
          <w:sz w:val="24"/>
          <w:szCs w:val="24"/>
        </w:rPr>
        <w:t xml:space="preserve">Genome Research </w:t>
      </w:r>
      <w:r w:rsidRPr="002173A2">
        <w:rPr>
          <w:rFonts w:ascii="Times New Roman" w:hAnsi="Times New Roman" w:cs="Times New Roman"/>
          <w:sz w:val="24"/>
          <w:szCs w:val="24"/>
        </w:rPr>
        <w:t xml:space="preserve">2018, </w:t>
      </w:r>
      <w:r w:rsidRPr="002173A2">
        <w:rPr>
          <w:rFonts w:ascii="Times New Roman" w:hAnsi="Times New Roman" w:cs="Times New Roman"/>
          <w:b/>
          <w:sz w:val="24"/>
          <w:szCs w:val="24"/>
        </w:rPr>
        <w:t>28</w:t>
      </w:r>
      <w:r w:rsidRPr="002173A2">
        <w:rPr>
          <w:rFonts w:ascii="Times New Roman" w:hAnsi="Times New Roman" w:cs="Times New Roman"/>
          <w:sz w:val="24"/>
          <w:szCs w:val="24"/>
        </w:rPr>
        <w:t>(3):396-411.</w:t>
      </w:r>
    </w:p>
    <w:p w14:paraId="0A2EC3C0" w14:textId="25D50AD7" w:rsidR="001A43D4" w:rsidRPr="008F5E4B" w:rsidRDefault="002173A2" w:rsidP="002173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173A2">
        <w:rPr>
          <w:rFonts w:ascii="Times New Roman" w:hAnsi="Times New Roman" w:cs="Times New Roman"/>
          <w:sz w:val="24"/>
          <w:szCs w:val="24"/>
        </w:rPr>
        <w:fldChar w:fldCharType="end"/>
      </w:r>
    </w:p>
    <w:sectPr w:rsidR="001A43D4" w:rsidRPr="008F5E4B">
      <w:pgSz w:w="12240" w:h="15840"/>
      <w:pgMar w:top="1440" w:right="1440" w:bottom="1440" w:left="144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Droid Sans Fallback">
    <w:altName w:val="Times New Roman"/>
    <w:panose1 w:val="020B0604020202020204"/>
    <w:charset w:val="00"/>
    <w:family w:val="roman"/>
    <w:notTrueType/>
    <w:pitch w:val="default"/>
  </w:font>
  <w:font w:name="FreeSans">
    <w:altName w:val="Times New Roman"/>
    <w:panose1 w:val="020B0604020202020204"/>
    <w:charset w:val="00"/>
    <w:family w:val="roman"/>
    <w:notTrueType/>
    <w:pitch w:val="default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panose1 w:val="020B0604020202020204"/>
    <w:charset w:val="01"/>
    <w:family w:val="roman"/>
    <w:pitch w:val="variable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Layout" w:val="&lt;ENLayout&gt;&lt;Style&gt;BMC Genomic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1A43D4"/>
    <w:rsid w:val="000144E9"/>
    <w:rsid w:val="00017223"/>
    <w:rsid w:val="000B08BC"/>
    <w:rsid w:val="001A43D4"/>
    <w:rsid w:val="002173A2"/>
    <w:rsid w:val="002A299A"/>
    <w:rsid w:val="007A3B1E"/>
    <w:rsid w:val="007C66FC"/>
    <w:rsid w:val="008F5E4B"/>
    <w:rsid w:val="009A5901"/>
    <w:rsid w:val="00E6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8FFFE7"/>
  <w15:docId w15:val="{6AA576EA-CE4A-4CAA-B63C-683C90DFE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F7277"/>
    <w:pPr>
      <w:suppressAutoHyphens/>
      <w:spacing w:after="160"/>
    </w:pPr>
    <w:rPr>
      <w:rFonts w:ascii="Calibri" w:eastAsia="Calibri" w:hAnsi="Calibri"/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ListParagraph">
    <w:name w:val="List Paragraph"/>
    <w:basedOn w:val="Normal"/>
    <w:uiPriority w:val="34"/>
    <w:qFormat/>
    <w:rsid w:val="008F7277"/>
    <w:pPr>
      <w:ind w:left="720"/>
      <w:contextualSpacing/>
    </w:pPr>
  </w:style>
  <w:style w:type="paragraph" w:customStyle="1" w:styleId="TableContents">
    <w:name w:val="Table Contents"/>
    <w:basedOn w:val="Normal"/>
    <w:qFormat/>
    <w:rsid w:val="00233943"/>
  </w:style>
  <w:style w:type="paragraph" w:customStyle="1" w:styleId="TableHeading">
    <w:name w:val="Table Heading"/>
    <w:basedOn w:val="TableContents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0172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223"/>
    <w:rPr>
      <w:rFonts w:ascii="Segoe UI" w:eastAsia="Calibri" w:hAnsi="Segoe UI" w:cs="Segoe UI"/>
      <w:color w:val="00000A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2173A2"/>
    <w:pPr>
      <w:spacing w:after="0"/>
      <w:jc w:val="center"/>
    </w:pPr>
    <w:rPr>
      <w:rFonts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173A2"/>
    <w:rPr>
      <w:rFonts w:ascii="Calibri" w:eastAsia="Calibri" w:hAnsi="Calibri" w:cs="Calibri"/>
      <w:noProof/>
      <w:color w:val="00000A"/>
      <w:sz w:val="22"/>
    </w:rPr>
  </w:style>
  <w:style w:type="paragraph" w:customStyle="1" w:styleId="EndNoteBibliography">
    <w:name w:val="EndNote Bibliography"/>
    <w:basedOn w:val="Normal"/>
    <w:link w:val="EndNoteBibliographyChar"/>
    <w:rsid w:val="002173A2"/>
    <w:pPr>
      <w:spacing w:line="240" w:lineRule="auto"/>
    </w:pPr>
    <w:rPr>
      <w:rFonts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2173A2"/>
    <w:rPr>
      <w:rFonts w:ascii="Calibri" w:eastAsia="Calibri" w:hAnsi="Calibri" w:cs="Calibri"/>
      <w:noProof/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1726</Words>
  <Characters>9839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McIntyre, Lauren M</dc:creator>
  <cp:lastModifiedBy>Sarah Bay</cp:lastModifiedBy>
  <cp:revision>2</cp:revision>
  <dcterms:created xsi:type="dcterms:W3CDTF">2018-06-12T21:04:00Z</dcterms:created>
  <dcterms:modified xsi:type="dcterms:W3CDTF">2018-06-12T21:04:00Z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