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D1AFD" w14:textId="07B85A1A" w:rsidR="004355F2" w:rsidRPr="009622E3" w:rsidRDefault="00EF7483">
      <w:pPr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9622E3">
        <w:rPr>
          <w:rFonts w:ascii="Arial" w:hAnsi="Arial" w:cs="Arial"/>
          <w:b/>
          <w:sz w:val="16"/>
          <w:szCs w:val="16"/>
        </w:rPr>
        <w:t xml:space="preserve">Supplemental </w:t>
      </w:r>
      <w:r w:rsidR="00FB4FB0" w:rsidRPr="009622E3">
        <w:rPr>
          <w:rFonts w:ascii="Arial" w:hAnsi="Arial" w:cs="Arial"/>
          <w:b/>
          <w:sz w:val="16"/>
          <w:szCs w:val="16"/>
        </w:rPr>
        <w:t xml:space="preserve">Table </w:t>
      </w:r>
      <w:r w:rsidR="00F83783">
        <w:rPr>
          <w:rFonts w:ascii="Arial" w:hAnsi="Arial" w:cs="Arial"/>
          <w:b/>
          <w:sz w:val="16"/>
          <w:szCs w:val="16"/>
        </w:rPr>
        <w:t>S3</w:t>
      </w:r>
      <w:r w:rsidR="00B63AA4">
        <w:rPr>
          <w:rFonts w:ascii="Arial" w:hAnsi="Arial" w:cs="Arial"/>
          <w:b/>
          <w:sz w:val="16"/>
          <w:szCs w:val="16"/>
        </w:rPr>
        <w:t>a</w:t>
      </w:r>
      <w:r w:rsidR="002C5E32" w:rsidRPr="009622E3">
        <w:rPr>
          <w:rFonts w:ascii="Arial" w:hAnsi="Arial" w:cs="Arial"/>
          <w:b/>
          <w:sz w:val="16"/>
          <w:szCs w:val="16"/>
        </w:rPr>
        <w:t>.</w:t>
      </w:r>
      <w:r w:rsidR="002C5E32" w:rsidRPr="009622E3">
        <w:rPr>
          <w:rFonts w:ascii="Arial" w:hAnsi="Arial" w:cs="Arial"/>
          <w:sz w:val="16"/>
          <w:szCs w:val="16"/>
        </w:rPr>
        <w:t xml:space="preserve">  </w:t>
      </w:r>
      <w:r w:rsidR="004355F2" w:rsidRPr="009622E3">
        <w:rPr>
          <w:rFonts w:ascii="Arial" w:hAnsi="Arial" w:cs="Arial"/>
          <w:sz w:val="16"/>
          <w:szCs w:val="16"/>
        </w:rPr>
        <w:t xml:space="preserve">Pathways significantly enriched in aphid bacteriocytes feeding on fava or alfalfa using </w:t>
      </w:r>
      <w:r w:rsidR="002C5E32" w:rsidRPr="009622E3">
        <w:rPr>
          <w:rFonts w:ascii="Arial" w:hAnsi="Arial" w:cs="Arial"/>
          <w:sz w:val="16"/>
          <w:szCs w:val="16"/>
        </w:rPr>
        <w:t>Gene Set Enrichment Analysis (</w:t>
      </w:r>
      <w:r w:rsidR="004355F2" w:rsidRPr="009622E3">
        <w:rPr>
          <w:rFonts w:ascii="Arial" w:hAnsi="Arial" w:cs="Arial"/>
          <w:sz w:val="16"/>
          <w:szCs w:val="16"/>
        </w:rPr>
        <w:t>GSEA)</w:t>
      </w:r>
    </w:p>
    <w:tbl>
      <w:tblPr>
        <w:tblStyle w:val="TableGrid"/>
        <w:tblW w:w="7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78"/>
        <w:gridCol w:w="990"/>
        <w:gridCol w:w="630"/>
        <w:gridCol w:w="702"/>
      </w:tblGrid>
      <w:tr w:rsidR="004B36FA" w:rsidRPr="009622E3" w14:paraId="69ADC72D" w14:textId="3C8825AD" w:rsidTr="004B36FA">
        <w:trPr>
          <w:trHeight w:val="203"/>
        </w:trPr>
        <w:tc>
          <w:tcPr>
            <w:tcW w:w="48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82A0A41" w14:textId="77777777" w:rsidR="004B36FA" w:rsidRPr="009622E3" w:rsidRDefault="004B36FA" w:rsidP="00C9159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622E3">
              <w:rPr>
                <w:rFonts w:ascii="Arial" w:hAnsi="Arial" w:cs="Arial"/>
                <w:b/>
                <w:sz w:val="16"/>
                <w:szCs w:val="16"/>
              </w:rPr>
              <w:t>Description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FD82B98" w14:textId="0F643E00" w:rsidR="004B36FA" w:rsidRPr="009622E3" w:rsidRDefault="004B36FA" w:rsidP="00C91595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9622E3">
              <w:rPr>
                <w:rFonts w:ascii="Arial" w:hAnsi="Arial" w:cs="Arial"/>
                <w:b/>
                <w:sz w:val="16"/>
                <w:szCs w:val="16"/>
              </w:rPr>
              <w:t xml:space="preserve">Set </w:t>
            </w:r>
            <w:proofErr w:type="spellStart"/>
            <w:r w:rsidRPr="009622E3">
              <w:rPr>
                <w:rFonts w:ascii="Arial" w:hAnsi="Arial" w:cs="Arial"/>
                <w:b/>
                <w:sz w:val="16"/>
                <w:szCs w:val="16"/>
              </w:rPr>
              <w:t>size</w:t>
            </w:r>
            <w:r w:rsidRPr="009622E3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0D20BD" w14:textId="4D3C2324" w:rsidR="004B36FA" w:rsidRPr="00363489" w:rsidRDefault="004B36FA" w:rsidP="00C91595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NES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b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</w:tcPr>
          <w:p w14:paraId="4E1A32AA" w14:textId="1DCBCBBC" w:rsidR="004B36FA" w:rsidRPr="004B36FA" w:rsidRDefault="004B36FA" w:rsidP="00C91595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P_adj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c</w:t>
            </w:r>
            <w:proofErr w:type="spellEnd"/>
          </w:p>
        </w:tc>
      </w:tr>
      <w:tr w:rsidR="004B36FA" w:rsidRPr="009622E3" w14:paraId="4DE40800" w14:textId="5E169546" w:rsidTr="004B36FA">
        <w:trPr>
          <w:trHeight w:val="203"/>
        </w:trPr>
        <w:tc>
          <w:tcPr>
            <w:tcW w:w="6498" w:type="dxa"/>
            <w:gridSpan w:val="3"/>
            <w:tcBorders>
              <w:top w:val="double" w:sz="4" w:space="0" w:color="auto"/>
            </w:tcBorders>
            <w:vAlign w:val="center"/>
          </w:tcPr>
          <w:p w14:paraId="51ABFBB4" w14:textId="0C8C0FCF" w:rsidR="004B36FA" w:rsidRPr="009622E3" w:rsidRDefault="004B36FA" w:rsidP="00EA1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Bacteriocytes</w:t>
            </w:r>
            <w:r w:rsidRPr="009622E3">
              <w:rPr>
                <w:rFonts w:ascii="Arial" w:hAnsi="Arial" w:cs="Arial"/>
                <w:b/>
                <w:sz w:val="16"/>
                <w:szCs w:val="16"/>
              </w:rPr>
              <w:t xml:space="preserve"> vs. </w:t>
            </w:r>
            <w:r>
              <w:rPr>
                <w:rFonts w:ascii="Arial" w:hAnsi="Arial" w:cs="Arial"/>
                <w:b/>
                <w:sz w:val="16"/>
                <w:szCs w:val="16"/>
              </w:rPr>
              <w:t>Body</w:t>
            </w:r>
            <w:r w:rsidRPr="009622E3">
              <w:rPr>
                <w:rFonts w:ascii="Arial" w:hAnsi="Arial" w:cs="Arial"/>
                <w:b/>
                <w:sz w:val="16"/>
                <w:szCs w:val="16"/>
              </w:rPr>
              <w:t xml:space="preserve"> cells</w:t>
            </w:r>
          </w:p>
        </w:tc>
        <w:tc>
          <w:tcPr>
            <w:tcW w:w="702" w:type="dxa"/>
            <w:tcBorders>
              <w:top w:val="double" w:sz="4" w:space="0" w:color="auto"/>
            </w:tcBorders>
          </w:tcPr>
          <w:p w14:paraId="23697F64" w14:textId="77777777" w:rsidR="004B36FA" w:rsidRDefault="004B36FA" w:rsidP="00EA128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B36FA" w:rsidRPr="009622E3" w14:paraId="30F1796C" w14:textId="2148D474" w:rsidTr="004B36FA">
        <w:trPr>
          <w:trHeight w:val="203"/>
        </w:trPr>
        <w:tc>
          <w:tcPr>
            <w:tcW w:w="4878" w:type="dxa"/>
            <w:vAlign w:val="center"/>
          </w:tcPr>
          <w:p w14:paraId="4FB2B5C7" w14:textId="0222ECE3" w:rsidR="004B36FA" w:rsidRPr="009622E3" w:rsidRDefault="004B36FA" w:rsidP="00EA1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Glycine, serine and threonine metabolism**</w:t>
            </w:r>
          </w:p>
        </w:tc>
        <w:tc>
          <w:tcPr>
            <w:tcW w:w="990" w:type="dxa"/>
            <w:vAlign w:val="center"/>
          </w:tcPr>
          <w:p w14:paraId="15F47E5E" w14:textId="655F6C44" w:rsidR="004B36FA" w:rsidRPr="009622E3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630" w:type="dxa"/>
            <w:vAlign w:val="center"/>
          </w:tcPr>
          <w:p w14:paraId="5FA0A547" w14:textId="4C0961D0" w:rsidR="004B36FA" w:rsidRPr="009622E3" w:rsidRDefault="004B36FA" w:rsidP="00891D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</w:t>
            </w:r>
          </w:p>
        </w:tc>
        <w:tc>
          <w:tcPr>
            <w:tcW w:w="702" w:type="dxa"/>
          </w:tcPr>
          <w:p w14:paraId="020B37AB" w14:textId="3ECCB81C" w:rsidR="004B36FA" w:rsidRDefault="004B36FA" w:rsidP="00891D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0.008</w:t>
            </w:r>
          </w:p>
        </w:tc>
      </w:tr>
      <w:tr w:rsidR="004B36FA" w:rsidRPr="009622E3" w14:paraId="200D2794" w14:textId="03634037" w:rsidTr="004B36FA">
        <w:trPr>
          <w:trHeight w:val="203"/>
        </w:trPr>
        <w:tc>
          <w:tcPr>
            <w:tcW w:w="4878" w:type="dxa"/>
            <w:vAlign w:val="center"/>
          </w:tcPr>
          <w:p w14:paraId="7EAB1030" w14:textId="23909C71" w:rsidR="004B36FA" w:rsidRDefault="004B36FA" w:rsidP="00EA1283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Glyoxylate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and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dicarboxylate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metabolism**</w:t>
            </w:r>
          </w:p>
        </w:tc>
        <w:tc>
          <w:tcPr>
            <w:tcW w:w="990" w:type="dxa"/>
            <w:vAlign w:val="center"/>
          </w:tcPr>
          <w:p w14:paraId="03990923" w14:textId="715383EF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630" w:type="dxa"/>
            <w:vAlign w:val="center"/>
          </w:tcPr>
          <w:p w14:paraId="21003565" w14:textId="3B20699C" w:rsidR="004B36FA" w:rsidRDefault="004B36FA" w:rsidP="00891D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1.49</w:t>
            </w:r>
          </w:p>
        </w:tc>
        <w:tc>
          <w:tcPr>
            <w:tcW w:w="702" w:type="dxa"/>
          </w:tcPr>
          <w:p w14:paraId="11A32E17" w14:textId="546A52AE" w:rsidR="004B36FA" w:rsidRDefault="004B36FA" w:rsidP="00891D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0.017</w:t>
            </w:r>
          </w:p>
        </w:tc>
      </w:tr>
      <w:tr w:rsidR="004B36FA" w:rsidRPr="009622E3" w14:paraId="34124718" w14:textId="3C2BE3FD" w:rsidTr="004B36FA">
        <w:trPr>
          <w:trHeight w:val="203"/>
        </w:trPr>
        <w:tc>
          <w:tcPr>
            <w:tcW w:w="4878" w:type="dxa"/>
            <w:vAlign w:val="center"/>
          </w:tcPr>
          <w:p w14:paraId="3DCEC39D" w14:textId="165143DB" w:rsidR="004B36FA" w:rsidRDefault="004B36FA" w:rsidP="00EA1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Phenylalanine metabolism**</w:t>
            </w:r>
          </w:p>
        </w:tc>
        <w:tc>
          <w:tcPr>
            <w:tcW w:w="990" w:type="dxa"/>
            <w:vAlign w:val="center"/>
          </w:tcPr>
          <w:p w14:paraId="40333853" w14:textId="05779BC0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30" w:type="dxa"/>
            <w:vAlign w:val="center"/>
          </w:tcPr>
          <w:p w14:paraId="08049D46" w14:textId="14281FB4" w:rsidR="004B36FA" w:rsidRDefault="004B36FA" w:rsidP="00891D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1.48</w:t>
            </w:r>
          </w:p>
        </w:tc>
        <w:tc>
          <w:tcPr>
            <w:tcW w:w="702" w:type="dxa"/>
          </w:tcPr>
          <w:p w14:paraId="7AD641FA" w14:textId="56337067" w:rsidR="004B36FA" w:rsidRDefault="004B36FA" w:rsidP="00891D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0.07</w:t>
            </w:r>
          </w:p>
        </w:tc>
      </w:tr>
      <w:tr w:rsidR="004B36FA" w:rsidRPr="009622E3" w14:paraId="645DB1BD" w14:textId="08AE0CE8" w:rsidTr="004B36FA">
        <w:trPr>
          <w:trHeight w:val="203"/>
        </w:trPr>
        <w:tc>
          <w:tcPr>
            <w:tcW w:w="4878" w:type="dxa"/>
            <w:vAlign w:val="center"/>
          </w:tcPr>
          <w:p w14:paraId="7815FE0B" w14:textId="742FCB22" w:rsidR="004B36FA" w:rsidRDefault="004B36FA" w:rsidP="00EA128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Pentose phosphate pathway**</w:t>
            </w:r>
          </w:p>
        </w:tc>
        <w:tc>
          <w:tcPr>
            <w:tcW w:w="990" w:type="dxa"/>
            <w:vAlign w:val="center"/>
          </w:tcPr>
          <w:p w14:paraId="7EBFF064" w14:textId="426750E5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630" w:type="dxa"/>
            <w:vAlign w:val="center"/>
          </w:tcPr>
          <w:p w14:paraId="24762B09" w14:textId="0831A738" w:rsidR="004B36FA" w:rsidRDefault="004B36FA" w:rsidP="00891D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1.46</w:t>
            </w:r>
          </w:p>
        </w:tc>
        <w:tc>
          <w:tcPr>
            <w:tcW w:w="702" w:type="dxa"/>
          </w:tcPr>
          <w:p w14:paraId="1831E824" w14:textId="3260F621" w:rsidR="004B36FA" w:rsidRDefault="004B36FA" w:rsidP="00891D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</w:tr>
      <w:tr w:rsidR="004B36FA" w:rsidRPr="009622E3" w14:paraId="07BFFB83" w14:textId="4DA367F9" w:rsidTr="004B36FA">
        <w:trPr>
          <w:trHeight w:val="203"/>
        </w:trPr>
        <w:tc>
          <w:tcPr>
            <w:tcW w:w="4878" w:type="dxa"/>
            <w:vAlign w:val="center"/>
          </w:tcPr>
          <w:p w14:paraId="3E8B9453" w14:textId="06BD5D23" w:rsidR="004B36FA" w:rsidRPr="009622E3" w:rsidRDefault="004B36FA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Nicotinate and nicotinamide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metaboslim</w:t>
            </w:r>
            <w:proofErr w:type="spellEnd"/>
            <w:r w:rsidRPr="009622E3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0BC611F7" w14:textId="7BF01131" w:rsidR="004B36FA" w:rsidRPr="009622E3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30" w:type="dxa"/>
            <w:vAlign w:val="center"/>
          </w:tcPr>
          <w:p w14:paraId="48ABF417" w14:textId="1B5216EE" w:rsidR="004B36FA" w:rsidRPr="009622E3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1.43</w:t>
            </w:r>
          </w:p>
        </w:tc>
        <w:tc>
          <w:tcPr>
            <w:tcW w:w="702" w:type="dxa"/>
          </w:tcPr>
          <w:p w14:paraId="10D88C75" w14:textId="77FE3995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0.027</w:t>
            </w:r>
          </w:p>
        </w:tc>
      </w:tr>
      <w:tr w:rsidR="004B36FA" w:rsidRPr="009622E3" w14:paraId="26BF822B" w14:textId="5E91258A" w:rsidTr="004B36FA">
        <w:trPr>
          <w:trHeight w:val="203"/>
        </w:trPr>
        <w:tc>
          <w:tcPr>
            <w:tcW w:w="4878" w:type="dxa"/>
            <w:vAlign w:val="center"/>
          </w:tcPr>
          <w:p w14:paraId="5AB3839F" w14:textId="5B5E64CF" w:rsidR="004B36FA" w:rsidRPr="009622E3" w:rsidRDefault="004B36FA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Vitamin B6 metabolism</w:t>
            </w:r>
            <w:r w:rsidRPr="009622E3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33CD4B32" w14:textId="716A3C4E" w:rsidR="004B36FA" w:rsidRPr="009622E3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30" w:type="dxa"/>
            <w:vAlign w:val="center"/>
          </w:tcPr>
          <w:p w14:paraId="65CA8E3C" w14:textId="5FC10F07" w:rsidR="004B36FA" w:rsidRPr="009622E3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</w:t>
            </w:r>
          </w:p>
        </w:tc>
        <w:tc>
          <w:tcPr>
            <w:tcW w:w="702" w:type="dxa"/>
          </w:tcPr>
          <w:p w14:paraId="015A1274" w14:textId="0D2FB94A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0.037</w:t>
            </w:r>
          </w:p>
        </w:tc>
      </w:tr>
      <w:tr w:rsidR="004B36FA" w:rsidRPr="009622E3" w14:paraId="587F8923" w14:textId="77828E28" w:rsidTr="004B36FA">
        <w:trPr>
          <w:trHeight w:val="203"/>
        </w:trPr>
        <w:tc>
          <w:tcPr>
            <w:tcW w:w="4878" w:type="dxa"/>
            <w:vAlign w:val="center"/>
          </w:tcPr>
          <w:p w14:paraId="1810EB42" w14:textId="0922B224" w:rsidR="004B36FA" w:rsidRDefault="004B36FA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Folate biosynthesis**</w:t>
            </w:r>
          </w:p>
        </w:tc>
        <w:tc>
          <w:tcPr>
            <w:tcW w:w="990" w:type="dxa"/>
            <w:vAlign w:val="center"/>
          </w:tcPr>
          <w:p w14:paraId="5C1E110D" w14:textId="356B9019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30" w:type="dxa"/>
            <w:vAlign w:val="center"/>
          </w:tcPr>
          <w:p w14:paraId="088103E8" w14:textId="739AF232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1.39</w:t>
            </w:r>
          </w:p>
        </w:tc>
        <w:tc>
          <w:tcPr>
            <w:tcW w:w="702" w:type="dxa"/>
          </w:tcPr>
          <w:p w14:paraId="66948034" w14:textId="7C69E5BA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0.045</w:t>
            </w:r>
          </w:p>
        </w:tc>
      </w:tr>
      <w:tr w:rsidR="004B36FA" w:rsidRPr="009622E3" w14:paraId="759BE095" w14:textId="6A073104" w:rsidTr="004B36FA">
        <w:trPr>
          <w:trHeight w:val="203"/>
        </w:trPr>
        <w:tc>
          <w:tcPr>
            <w:tcW w:w="4878" w:type="dxa"/>
            <w:vAlign w:val="center"/>
          </w:tcPr>
          <w:p w14:paraId="2B08D07C" w14:textId="51579ABE" w:rsidR="004B36FA" w:rsidRDefault="004B36FA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Biosynthesis of amino acids*</w:t>
            </w:r>
          </w:p>
        </w:tc>
        <w:tc>
          <w:tcPr>
            <w:tcW w:w="990" w:type="dxa"/>
            <w:vAlign w:val="center"/>
          </w:tcPr>
          <w:p w14:paraId="0C32DC80" w14:textId="53C46A49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630" w:type="dxa"/>
            <w:vAlign w:val="center"/>
          </w:tcPr>
          <w:p w14:paraId="1641CE81" w14:textId="138932CC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1.39</w:t>
            </w:r>
          </w:p>
        </w:tc>
        <w:tc>
          <w:tcPr>
            <w:tcW w:w="702" w:type="dxa"/>
          </w:tcPr>
          <w:p w14:paraId="30F05666" w14:textId="676E05C6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0.085</w:t>
            </w:r>
          </w:p>
        </w:tc>
      </w:tr>
      <w:tr w:rsidR="004B36FA" w:rsidRPr="009622E3" w14:paraId="3655C546" w14:textId="0F2F48C5" w:rsidTr="004B36FA">
        <w:trPr>
          <w:trHeight w:val="203"/>
        </w:trPr>
        <w:tc>
          <w:tcPr>
            <w:tcW w:w="4878" w:type="dxa"/>
            <w:vAlign w:val="center"/>
          </w:tcPr>
          <w:p w14:paraId="190D4EE6" w14:textId="45932141" w:rsidR="004B36FA" w:rsidRPr="009622E3" w:rsidRDefault="004B36FA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Phenylalanine, tyrosine and tryptophan biosynthesis</w:t>
            </w:r>
            <w:r w:rsidRPr="009622E3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0" w:type="dxa"/>
            <w:vAlign w:val="center"/>
          </w:tcPr>
          <w:p w14:paraId="2E988F58" w14:textId="761EB3E7" w:rsidR="004B36FA" w:rsidRPr="009622E3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30" w:type="dxa"/>
            <w:vAlign w:val="center"/>
          </w:tcPr>
          <w:p w14:paraId="2DBFE8E1" w14:textId="18901BFF" w:rsidR="004B36FA" w:rsidRPr="009622E3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1.36</w:t>
            </w:r>
          </w:p>
        </w:tc>
        <w:tc>
          <w:tcPr>
            <w:tcW w:w="702" w:type="dxa"/>
          </w:tcPr>
          <w:p w14:paraId="24076C82" w14:textId="6859F67F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0.074</w:t>
            </w:r>
          </w:p>
        </w:tc>
      </w:tr>
      <w:tr w:rsidR="004B36FA" w:rsidRPr="009622E3" w14:paraId="4A6519D3" w14:textId="4BDA80E1" w:rsidTr="004B36FA">
        <w:trPr>
          <w:trHeight w:val="203"/>
        </w:trPr>
        <w:tc>
          <w:tcPr>
            <w:tcW w:w="4878" w:type="dxa"/>
            <w:vAlign w:val="center"/>
          </w:tcPr>
          <w:p w14:paraId="5B03A696" w14:textId="04140EBD" w:rsidR="004B36FA" w:rsidRPr="00901ACC" w:rsidRDefault="004B36FA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Lipoic acid metabolism**</w:t>
            </w:r>
          </w:p>
        </w:tc>
        <w:tc>
          <w:tcPr>
            <w:tcW w:w="990" w:type="dxa"/>
            <w:vAlign w:val="center"/>
          </w:tcPr>
          <w:p w14:paraId="361AB4B1" w14:textId="28E47506" w:rsidR="004B36FA" w:rsidRPr="009622E3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30" w:type="dxa"/>
            <w:vAlign w:val="center"/>
          </w:tcPr>
          <w:p w14:paraId="3992A8DE" w14:textId="6B8EC2B3" w:rsidR="004B36FA" w:rsidRPr="009622E3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1.34</w:t>
            </w:r>
          </w:p>
        </w:tc>
        <w:tc>
          <w:tcPr>
            <w:tcW w:w="702" w:type="dxa"/>
          </w:tcPr>
          <w:p w14:paraId="188F26C9" w14:textId="055976C8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0.016</w:t>
            </w:r>
          </w:p>
        </w:tc>
      </w:tr>
      <w:tr w:rsidR="004B36FA" w:rsidRPr="009622E3" w14:paraId="1FB8378B" w14:textId="46CFA7D7" w:rsidTr="004B36FA">
        <w:trPr>
          <w:trHeight w:val="203"/>
        </w:trPr>
        <w:tc>
          <w:tcPr>
            <w:tcW w:w="4878" w:type="dxa"/>
            <w:shd w:val="pct12" w:color="auto" w:fill="auto"/>
            <w:vAlign w:val="center"/>
          </w:tcPr>
          <w:p w14:paraId="4871267F" w14:textId="1A18B18B" w:rsidR="004B36FA" w:rsidRPr="009622E3" w:rsidRDefault="004B36FA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Hippo signaling pathway - fly</w:t>
            </w:r>
            <w:r w:rsidRPr="009622E3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0" w:type="dxa"/>
            <w:shd w:val="pct12" w:color="auto" w:fill="auto"/>
            <w:vAlign w:val="center"/>
          </w:tcPr>
          <w:p w14:paraId="37DEB1C6" w14:textId="7F136997" w:rsidR="004B36FA" w:rsidRPr="009622E3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630" w:type="dxa"/>
            <w:shd w:val="pct12" w:color="auto" w:fill="auto"/>
            <w:vAlign w:val="center"/>
          </w:tcPr>
          <w:p w14:paraId="7556D863" w14:textId="4FC99422" w:rsidR="004B36FA" w:rsidRPr="009622E3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-1.3</w:t>
            </w:r>
          </w:p>
        </w:tc>
        <w:tc>
          <w:tcPr>
            <w:tcW w:w="702" w:type="dxa"/>
            <w:shd w:val="pct12" w:color="auto" w:fill="auto"/>
          </w:tcPr>
          <w:p w14:paraId="2766AD23" w14:textId="4C1D796B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0.072</w:t>
            </w:r>
          </w:p>
        </w:tc>
      </w:tr>
      <w:tr w:rsidR="004B36FA" w:rsidRPr="009622E3" w14:paraId="6A885EDA" w14:textId="290CDCE0" w:rsidTr="004B36FA">
        <w:trPr>
          <w:trHeight w:val="203"/>
        </w:trPr>
        <w:tc>
          <w:tcPr>
            <w:tcW w:w="4878" w:type="dxa"/>
            <w:shd w:val="pct12" w:color="auto" w:fill="auto"/>
            <w:vAlign w:val="center"/>
          </w:tcPr>
          <w:p w14:paraId="2CAD3A8A" w14:textId="0A2BA1B3" w:rsidR="004B36FA" w:rsidRDefault="004B36FA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Notch signaling pathway**</w:t>
            </w:r>
          </w:p>
        </w:tc>
        <w:tc>
          <w:tcPr>
            <w:tcW w:w="990" w:type="dxa"/>
            <w:shd w:val="pct12" w:color="auto" w:fill="auto"/>
            <w:vAlign w:val="center"/>
          </w:tcPr>
          <w:p w14:paraId="0CAB8D50" w14:textId="0C2318C3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630" w:type="dxa"/>
            <w:shd w:val="pct12" w:color="auto" w:fill="auto"/>
            <w:vAlign w:val="center"/>
          </w:tcPr>
          <w:p w14:paraId="2C58ECFD" w14:textId="6A901338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-1.39</w:t>
            </w:r>
          </w:p>
        </w:tc>
        <w:tc>
          <w:tcPr>
            <w:tcW w:w="702" w:type="dxa"/>
            <w:shd w:val="pct12" w:color="auto" w:fill="auto"/>
          </w:tcPr>
          <w:p w14:paraId="6D8249F3" w14:textId="4E00881D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0.017</w:t>
            </w:r>
          </w:p>
        </w:tc>
      </w:tr>
      <w:tr w:rsidR="004B36FA" w:rsidRPr="009622E3" w14:paraId="05AC36C9" w14:textId="3A5BE18B" w:rsidTr="004B36FA">
        <w:trPr>
          <w:trHeight w:val="203"/>
        </w:trPr>
        <w:tc>
          <w:tcPr>
            <w:tcW w:w="4878" w:type="dxa"/>
            <w:shd w:val="pct12" w:color="auto" w:fill="auto"/>
            <w:vAlign w:val="center"/>
          </w:tcPr>
          <w:p w14:paraId="696E903F" w14:textId="028EE27D" w:rsidR="004B36FA" w:rsidRDefault="004B36FA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 glycan degradation*</w:t>
            </w:r>
          </w:p>
        </w:tc>
        <w:tc>
          <w:tcPr>
            <w:tcW w:w="990" w:type="dxa"/>
            <w:shd w:val="pct12" w:color="auto" w:fill="auto"/>
            <w:vAlign w:val="center"/>
          </w:tcPr>
          <w:p w14:paraId="51A0ACA2" w14:textId="03EA6728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630" w:type="dxa"/>
            <w:shd w:val="pct12" w:color="auto" w:fill="auto"/>
            <w:vAlign w:val="center"/>
          </w:tcPr>
          <w:p w14:paraId="1C0BA456" w14:textId="4F7EE5DE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-1.44</w:t>
            </w:r>
          </w:p>
        </w:tc>
        <w:tc>
          <w:tcPr>
            <w:tcW w:w="702" w:type="dxa"/>
            <w:shd w:val="pct12" w:color="auto" w:fill="auto"/>
          </w:tcPr>
          <w:p w14:paraId="71E86B7B" w14:textId="3632A1D3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0.087</w:t>
            </w:r>
          </w:p>
        </w:tc>
      </w:tr>
      <w:tr w:rsidR="004B36FA" w:rsidRPr="009622E3" w14:paraId="1EB03EC9" w14:textId="7C7053A7" w:rsidTr="004B36FA">
        <w:trPr>
          <w:trHeight w:val="203"/>
        </w:trPr>
        <w:tc>
          <w:tcPr>
            <w:tcW w:w="4878" w:type="dxa"/>
            <w:shd w:val="pct12" w:color="auto" w:fill="auto"/>
            <w:vAlign w:val="center"/>
          </w:tcPr>
          <w:p w14:paraId="7F598775" w14:textId="49071B64" w:rsidR="004B36FA" w:rsidRDefault="004B36FA" w:rsidP="00C91595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Phototransduction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- fly**</w:t>
            </w:r>
          </w:p>
        </w:tc>
        <w:tc>
          <w:tcPr>
            <w:tcW w:w="990" w:type="dxa"/>
            <w:shd w:val="pct12" w:color="auto" w:fill="auto"/>
            <w:vAlign w:val="center"/>
          </w:tcPr>
          <w:p w14:paraId="28AE7DD4" w14:textId="47D0DD2F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630" w:type="dxa"/>
            <w:shd w:val="pct12" w:color="auto" w:fill="auto"/>
            <w:vAlign w:val="center"/>
          </w:tcPr>
          <w:p w14:paraId="491DFE43" w14:textId="6CB39C15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-1.46</w:t>
            </w:r>
          </w:p>
        </w:tc>
        <w:tc>
          <w:tcPr>
            <w:tcW w:w="702" w:type="dxa"/>
            <w:shd w:val="pct12" w:color="auto" w:fill="auto"/>
          </w:tcPr>
          <w:p w14:paraId="7C46252D" w14:textId="1DE47B89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0.002</w:t>
            </w:r>
          </w:p>
        </w:tc>
      </w:tr>
      <w:tr w:rsidR="004B36FA" w:rsidRPr="009622E3" w14:paraId="523E9708" w14:textId="2A0D24C3" w:rsidTr="004B36FA">
        <w:trPr>
          <w:trHeight w:val="203"/>
        </w:trPr>
        <w:tc>
          <w:tcPr>
            <w:tcW w:w="4878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AA69ABA" w14:textId="1562641D" w:rsidR="004B36FA" w:rsidRDefault="004B36FA" w:rsidP="00C9159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Neuroactive ligand-receptor interaction**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448AA8DD" w14:textId="7366D5C5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167CF137" w14:textId="12C6D20C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-1.69</w:t>
            </w:r>
          </w:p>
        </w:tc>
        <w:tc>
          <w:tcPr>
            <w:tcW w:w="702" w:type="dxa"/>
            <w:tcBorders>
              <w:bottom w:val="single" w:sz="4" w:space="0" w:color="auto"/>
            </w:tcBorders>
            <w:shd w:val="pct12" w:color="auto" w:fill="auto"/>
          </w:tcPr>
          <w:p w14:paraId="55481897" w14:textId="61640957" w:rsidR="004B36FA" w:rsidRDefault="004B36FA" w:rsidP="00C915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</w:tbl>
    <w:p w14:paraId="20AE261F" w14:textId="77602685" w:rsidR="00B63AA4" w:rsidRDefault="00891D56" w:rsidP="00EA1283">
      <w:pPr>
        <w:spacing w:after="0"/>
        <w:rPr>
          <w:rFonts w:ascii="Arial" w:eastAsia="MS Mincho" w:hAnsi="Arial" w:cs="Arial"/>
          <w:color w:val="000000"/>
          <w:sz w:val="16"/>
          <w:szCs w:val="16"/>
        </w:rPr>
      </w:pPr>
      <w:r>
        <w:rPr>
          <w:rFonts w:ascii="Arial" w:eastAsia="MS Mincho" w:hAnsi="Arial" w:cs="Arial"/>
          <w:color w:val="000000"/>
          <w:sz w:val="16"/>
          <w:szCs w:val="16"/>
        </w:rPr>
        <w:t>*p-value &lt;0.1; **p-value &lt;0.05</w:t>
      </w:r>
      <w:r w:rsidR="00EA1283" w:rsidRPr="009622E3">
        <w:rPr>
          <w:rFonts w:ascii="Arial" w:eastAsia="MS Mincho" w:hAnsi="Arial" w:cs="Arial"/>
          <w:color w:val="000000"/>
          <w:sz w:val="16"/>
          <w:szCs w:val="16"/>
        </w:rPr>
        <w:t xml:space="preserve">; </w:t>
      </w:r>
      <w:proofErr w:type="spellStart"/>
      <w:r w:rsidR="00EA1283" w:rsidRPr="009622E3">
        <w:rPr>
          <w:rFonts w:ascii="Arial" w:eastAsia="MS Mincho" w:hAnsi="Arial" w:cs="Arial"/>
          <w:color w:val="000000"/>
          <w:sz w:val="16"/>
          <w:szCs w:val="16"/>
          <w:vertAlign w:val="superscript"/>
        </w:rPr>
        <w:t>a</w:t>
      </w:r>
      <w:r w:rsidR="00EA1283" w:rsidRPr="009622E3">
        <w:rPr>
          <w:rFonts w:ascii="Arial" w:eastAsia="MS Mincho" w:hAnsi="Arial" w:cs="Arial"/>
          <w:color w:val="000000"/>
          <w:sz w:val="16"/>
          <w:szCs w:val="16"/>
        </w:rPr>
        <w:t>Number</w:t>
      </w:r>
      <w:proofErr w:type="spellEnd"/>
      <w:r w:rsidR="00EA1283" w:rsidRPr="009622E3">
        <w:rPr>
          <w:rFonts w:ascii="Arial" w:eastAsia="MS Mincho" w:hAnsi="Arial" w:cs="Arial"/>
          <w:color w:val="000000"/>
          <w:sz w:val="16"/>
          <w:szCs w:val="16"/>
        </w:rPr>
        <w:t xml:space="preserve"> o</w:t>
      </w:r>
      <w:r w:rsidR="00EF7483" w:rsidRPr="009622E3">
        <w:rPr>
          <w:rFonts w:ascii="Arial" w:eastAsia="MS Mincho" w:hAnsi="Arial" w:cs="Arial"/>
          <w:color w:val="000000"/>
          <w:sz w:val="16"/>
          <w:szCs w:val="16"/>
        </w:rPr>
        <w:t xml:space="preserve">f genes included in a gene set; </w:t>
      </w:r>
      <w:proofErr w:type="spellStart"/>
      <w:r w:rsidR="00363489">
        <w:rPr>
          <w:rFonts w:ascii="Arial" w:eastAsia="MS Mincho" w:hAnsi="Arial" w:cs="Arial"/>
          <w:color w:val="000000"/>
          <w:sz w:val="16"/>
          <w:szCs w:val="16"/>
          <w:vertAlign w:val="superscript"/>
        </w:rPr>
        <w:t>b</w:t>
      </w:r>
      <w:r w:rsidR="00363489">
        <w:rPr>
          <w:rFonts w:ascii="Arial" w:eastAsia="MS Mincho" w:hAnsi="Arial" w:cs="Arial"/>
          <w:color w:val="000000"/>
          <w:sz w:val="16"/>
          <w:szCs w:val="16"/>
        </w:rPr>
        <w:t>Normalized</w:t>
      </w:r>
      <w:proofErr w:type="spellEnd"/>
      <w:r w:rsidR="00363489">
        <w:rPr>
          <w:rFonts w:ascii="Arial" w:eastAsia="MS Mincho" w:hAnsi="Arial" w:cs="Arial"/>
          <w:color w:val="000000"/>
          <w:sz w:val="16"/>
          <w:szCs w:val="16"/>
        </w:rPr>
        <w:t xml:space="preserve"> Enrichment Score</w:t>
      </w:r>
      <w:r w:rsidR="004B36FA">
        <w:rPr>
          <w:rFonts w:ascii="Arial" w:eastAsia="MS Mincho" w:hAnsi="Arial" w:cs="Arial"/>
          <w:color w:val="000000"/>
          <w:sz w:val="16"/>
          <w:szCs w:val="16"/>
        </w:rPr>
        <w:t xml:space="preserve">; </w:t>
      </w:r>
      <w:proofErr w:type="spellStart"/>
      <w:r w:rsidR="004B36FA" w:rsidRPr="004B36FA">
        <w:rPr>
          <w:rFonts w:ascii="Arial" w:eastAsia="MS Mincho" w:hAnsi="Arial" w:cs="Arial"/>
          <w:color w:val="000000"/>
          <w:sz w:val="16"/>
          <w:szCs w:val="16"/>
          <w:vertAlign w:val="superscript"/>
        </w:rPr>
        <w:t>c</w:t>
      </w:r>
      <w:r w:rsidR="004B36FA">
        <w:rPr>
          <w:rFonts w:ascii="Arial" w:eastAsia="MS Mincho" w:hAnsi="Arial" w:cs="Arial"/>
          <w:color w:val="000000"/>
          <w:sz w:val="16"/>
          <w:szCs w:val="16"/>
        </w:rPr>
        <w:t>Normalized</w:t>
      </w:r>
      <w:proofErr w:type="spellEnd"/>
      <w:r w:rsidR="004B36FA">
        <w:rPr>
          <w:rFonts w:ascii="Arial" w:eastAsia="MS Mincho" w:hAnsi="Arial" w:cs="Arial"/>
          <w:color w:val="000000"/>
          <w:sz w:val="16"/>
          <w:szCs w:val="16"/>
        </w:rPr>
        <w:t xml:space="preserve"> p-value</w:t>
      </w:r>
      <w:r w:rsidR="00363489">
        <w:rPr>
          <w:rFonts w:ascii="Arial" w:eastAsia="MS Mincho" w:hAnsi="Arial" w:cs="Arial"/>
          <w:color w:val="000000"/>
          <w:sz w:val="16"/>
          <w:szCs w:val="16"/>
        </w:rPr>
        <w:t xml:space="preserve">; </w:t>
      </w:r>
      <w:r w:rsidR="00EF7483" w:rsidRPr="009622E3">
        <w:rPr>
          <w:rFonts w:ascii="Arial" w:eastAsia="MS Mincho" w:hAnsi="Arial" w:cs="Arial"/>
          <w:color w:val="000000"/>
          <w:sz w:val="16"/>
          <w:szCs w:val="16"/>
        </w:rPr>
        <w:t xml:space="preserve">Shaded rows indicate the pathways </w:t>
      </w:r>
      <w:r w:rsidR="009D5530">
        <w:rPr>
          <w:rFonts w:ascii="Arial" w:eastAsia="MS Mincho" w:hAnsi="Arial" w:cs="Arial"/>
          <w:color w:val="000000"/>
          <w:sz w:val="16"/>
          <w:szCs w:val="16"/>
        </w:rPr>
        <w:t>enriched in body cells</w:t>
      </w:r>
      <w:r w:rsidR="00901ACC">
        <w:rPr>
          <w:rFonts w:ascii="Arial" w:eastAsia="MS Mincho" w:hAnsi="Arial" w:cs="Arial"/>
          <w:color w:val="000000"/>
          <w:sz w:val="16"/>
          <w:szCs w:val="16"/>
        </w:rPr>
        <w:t>.</w:t>
      </w:r>
    </w:p>
    <w:p w14:paraId="1B694EA4" w14:textId="31FAAA18" w:rsidR="00B63AA4" w:rsidRDefault="00B63AA4" w:rsidP="00EA1283">
      <w:pPr>
        <w:spacing w:after="0"/>
        <w:rPr>
          <w:rFonts w:ascii="Arial" w:eastAsia="MS Mincho" w:hAnsi="Arial" w:cs="Arial"/>
          <w:color w:val="000000"/>
          <w:sz w:val="16"/>
          <w:szCs w:val="16"/>
        </w:rPr>
      </w:pPr>
    </w:p>
    <w:p w14:paraId="785C1D41" w14:textId="77777777" w:rsidR="00B63AA4" w:rsidRPr="009622E3" w:rsidRDefault="00B63AA4" w:rsidP="00EA1283">
      <w:pPr>
        <w:spacing w:after="0"/>
        <w:rPr>
          <w:rFonts w:ascii="Arial" w:eastAsia="MS Mincho" w:hAnsi="Arial" w:cs="Arial"/>
          <w:color w:val="000000"/>
          <w:sz w:val="16"/>
          <w:szCs w:val="16"/>
        </w:rPr>
      </w:pPr>
    </w:p>
    <w:p w14:paraId="66B7DDDA" w14:textId="4C7E255F" w:rsidR="00B63AA4" w:rsidRPr="009622E3" w:rsidRDefault="00B63AA4" w:rsidP="00B63AA4">
      <w:pPr>
        <w:rPr>
          <w:rFonts w:ascii="Arial" w:hAnsi="Arial" w:cs="Arial"/>
          <w:sz w:val="16"/>
          <w:szCs w:val="16"/>
        </w:rPr>
      </w:pPr>
      <w:r w:rsidRPr="009622E3">
        <w:rPr>
          <w:rFonts w:ascii="Arial" w:hAnsi="Arial" w:cs="Arial"/>
          <w:b/>
          <w:sz w:val="16"/>
          <w:szCs w:val="16"/>
        </w:rPr>
        <w:t xml:space="preserve">Supplemental Table </w:t>
      </w:r>
      <w:r>
        <w:rPr>
          <w:rFonts w:ascii="Arial" w:hAnsi="Arial" w:cs="Arial"/>
          <w:b/>
          <w:sz w:val="16"/>
          <w:szCs w:val="16"/>
        </w:rPr>
        <w:t>S3b</w:t>
      </w:r>
      <w:r w:rsidRPr="009622E3">
        <w:rPr>
          <w:rFonts w:ascii="Arial" w:hAnsi="Arial" w:cs="Arial"/>
          <w:b/>
          <w:sz w:val="16"/>
          <w:szCs w:val="16"/>
        </w:rPr>
        <w:t>.</w:t>
      </w:r>
      <w:r w:rsidRPr="009622E3">
        <w:rPr>
          <w:rFonts w:ascii="Arial" w:hAnsi="Arial" w:cs="Arial"/>
          <w:sz w:val="16"/>
          <w:szCs w:val="16"/>
        </w:rPr>
        <w:t xml:space="preserve">  Pathways significantly enriched in aphid bacteriocytes feeding on </w:t>
      </w:r>
      <w:r>
        <w:rPr>
          <w:rFonts w:ascii="Arial" w:hAnsi="Arial" w:cs="Arial"/>
          <w:sz w:val="16"/>
          <w:szCs w:val="16"/>
        </w:rPr>
        <w:t>alfalfa relative to fava</w:t>
      </w:r>
      <w:r w:rsidRPr="009622E3">
        <w:rPr>
          <w:rFonts w:ascii="Arial" w:hAnsi="Arial" w:cs="Arial"/>
          <w:sz w:val="16"/>
          <w:szCs w:val="16"/>
        </w:rPr>
        <w:t xml:space="preserve"> using Gene Set Enrichment Analysis (GSEA)</w:t>
      </w:r>
    </w:p>
    <w:tbl>
      <w:tblPr>
        <w:tblStyle w:val="TableGrid"/>
        <w:tblW w:w="7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78"/>
        <w:gridCol w:w="990"/>
        <w:gridCol w:w="630"/>
        <w:gridCol w:w="702"/>
      </w:tblGrid>
      <w:tr w:rsidR="004B36FA" w:rsidRPr="009622E3" w14:paraId="04B7C1BE" w14:textId="1ABA69C2" w:rsidTr="004B36FA">
        <w:trPr>
          <w:trHeight w:val="203"/>
        </w:trPr>
        <w:tc>
          <w:tcPr>
            <w:tcW w:w="48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C6E2B7" w14:textId="77777777" w:rsidR="004B36FA" w:rsidRPr="009622E3" w:rsidRDefault="004B36FA" w:rsidP="00DB251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622E3">
              <w:rPr>
                <w:rFonts w:ascii="Arial" w:hAnsi="Arial" w:cs="Arial"/>
                <w:b/>
                <w:sz w:val="16"/>
                <w:szCs w:val="16"/>
              </w:rPr>
              <w:t>Description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6F45D40" w14:textId="77777777" w:rsidR="004B36FA" w:rsidRPr="009622E3" w:rsidRDefault="004B36FA" w:rsidP="00DB251B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9622E3">
              <w:rPr>
                <w:rFonts w:ascii="Arial" w:hAnsi="Arial" w:cs="Arial"/>
                <w:b/>
                <w:sz w:val="16"/>
                <w:szCs w:val="16"/>
              </w:rPr>
              <w:t xml:space="preserve">Set </w:t>
            </w:r>
            <w:proofErr w:type="spellStart"/>
            <w:r w:rsidRPr="009622E3">
              <w:rPr>
                <w:rFonts w:ascii="Arial" w:hAnsi="Arial" w:cs="Arial"/>
                <w:b/>
                <w:sz w:val="16"/>
                <w:szCs w:val="16"/>
              </w:rPr>
              <w:t>size</w:t>
            </w:r>
            <w:r w:rsidRPr="009622E3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AA20C3" w14:textId="77777777" w:rsidR="004B36FA" w:rsidRPr="00363489" w:rsidRDefault="004B36FA" w:rsidP="00DB251B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NES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b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</w:tcPr>
          <w:p w14:paraId="7C77F211" w14:textId="16142493" w:rsidR="004B36FA" w:rsidRPr="004B36FA" w:rsidRDefault="004B36FA" w:rsidP="00DB251B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P_adj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c</w:t>
            </w:r>
            <w:proofErr w:type="spellEnd"/>
          </w:p>
        </w:tc>
      </w:tr>
      <w:tr w:rsidR="004B36FA" w:rsidRPr="009622E3" w14:paraId="74157183" w14:textId="208E7807" w:rsidTr="004B36FA">
        <w:trPr>
          <w:trHeight w:val="203"/>
        </w:trPr>
        <w:tc>
          <w:tcPr>
            <w:tcW w:w="6498" w:type="dxa"/>
            <w:gridSpan w:val="3"/>
            <w:tcBorders>
              <w:top w:val="double" w:sz="4" w:space="0" w:color="auto"/>
            </w:tcBorders>
            <w:vAlign w:val="center"/>
          </w:tcPr>
          <w:p w14:paraId="189054E4" w14:textId="0FF4B8A9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Alfalfa</w:t>
            </w:r>
            <w:r w:rsidRPr="009622E3">
              <w:rPr>
                <w:rFonts w:ascii="Arial" w:hAnsi="Arial" w:cs="Arial"/>
                <w:b/>
                <w:sz w:val="16"/>
                <w:szCs w:val="16"/>
              </w:rPr>
              <w:t xml:space="preserve"> bacteriocytes vs. Fava </w:t>
            </w:r>
            <w:r>
              <w:rPr>
                <w:rFonts w:ascii="Arial" w:hAnsi="Arial" w:cs="Arial"/>
                <w:b/>
                <w:sz w:val="16"/>
                <w:szCs w:val="16"/>
              </w:rPr>
              <w:t>bacteriocytes</w:t>
            </w:r>
          </w:p>
        </w:tc>
        <w:tc>
          <w:tcPr>
            <w:tcW w:w="702" w:type="dxa"/>
            <w:tcBorders>
              <w:top w:val="double" w:sz="4" w:space="0" w:color="auto"/>
            </w:tcBorders>
          </w:tcPr>
          <w:p w14:paraId="149F7625" w14:textId="77777777" w:rsidR="004B36FA" w:rsidRDefault="004B36FA" w:rsidP="00DB251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B36FA" w:rsidRPr="009622E3" w14:paraId="70EB040B" w14:textId="44841580" w:rsidTr="004B36FA">
        <w:trPr>
          <w:trHeight w:val="203"/>
        </w:trPr>
        <w:tc>
          <w:tcPr>
            <w:tcW w:w="4878" w:type="dxa"/>
            <w:vAlign w:val="center"/>
          </w:tcPr>
          <w:p w14:paraId="75B0A1C0" w14:textId="4EC5794D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Synthesis and degradation of ketone bodies*</w:t>
            </w:r>
          </w:p>
        </w:tc>
        <w:tc>
          <w:tcPr>
            <w:tcW w:w="990" w:type="dxa"/>
            <w:vAlign w:val="center"/>
          </w:tcPr>
          <w:p w14:paraId="143A4A00" w14:textId="40F26D20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30" w:type="dxa"/>
            <w:vAlign w:val="center"/>
          </w:tcPr>
          <w:p w14:paraId="1B35903C" w14:textId="5DABA8D6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1.43</w:t>
            </w:r>
          </w:p>
        </w:tc>
        <w:tc>
          <w:tcPr>
            <w:tcW w:w="702" w:type="dxa"/>
          </w:tcPr>
          <w:p w14:paraId="1A39A1D9" w14:textId="2C360204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0.096</w:t>
            </w:r>
          </w:p>
        </w:tc>
      </w:tr>
      <w:tr w:rsidR="004B36FA" w:rsidRPr="009622E3" w14:paraId="1CF92465" w14:textId="3002CD36" w:rsidTr="004B36FA">
        <w:trPr>
          <w:trHeight w:val="203"/>
        </w:trPr>
        <w:tc>
          <w:tcPr>
            <w:tcW w:w="4878" w:type="dxa"/>
            <w:vAlign w:val="center"/>
          </w:tcPr>
          <w:p w14:paraId="03070752" w14:textId="0A6FCA39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Vitamin B6 metabolism</w:t>
            </w:r>
            <w:r w:rsidRPr="009622E3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3FB088DD" w14:textId="475E67AF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30" w:type="dxa"/>
            <w:vAlign w:val="center"/>
          </w:tcPr>
          <w:p w14:paraId="727F6957" w14:textId="77777777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1.39</w:t>
            </w:r>
          </w:p>
        </w:tc>
        <w:tc>
          <w:tcPr>
            <w:tcW w:w="702" w:type="dxa"/>
          </w:tcPr>
          <w:p w14:paraId="7687601D" w14:textId="2EF80CA0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4B36FA" w:rsidRPr="009622E3" w14:paraId="19A3DE68" w14:textId="427F2E06" w:rsidTr="004B36FA">
        <w:trPr>
          <w:trHeight w:val="203"/>
        </w:trPr>
        <w:tc>
          <w:tcPr>
            <w:tcW w:w="4878" w:type="dxa"/>
            <w:vAlign w:val="center"/>
          </w:tcPr>
          <w:p w14:paraId="1CF5FEDA" w14:textId="279A1886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Aminoacyl-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tRNA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biosynthesis</w:t>
            </w:r>
            <w:r w:rsidRPr="009622E3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243EA19A" w14:textId="379EBC6C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630" w:type="dxa"/>
            <w:vAlign w:val="center"/>
          </w:tcPr>
          <w:p w14:paraId="11CA5176" w14:textId="19396B73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1.35</w:t>
            </w:r>
          </w:p>
        </w:tc>
        <w:tc>
          <w:tcPr>
            <w:tcW w:w="702" w:type="dxa"/>
          </w:tcPr>
          <w:p w14:paraId="24156ED4" w14:textId="7D09204D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4B36FA" w:rsidRPr="009622E3" w14:paraId="02C616B7" w14:textId="65497BE7" w:rsidTr="004B36FA">
        <w:trPr>
          <w:trHeight w:val="203"/>
        </w:trPr>
        <w:tc>
          <w:tcPr>
            <w:tcW w:w="4878" w:type="dxa"/>
            <w:vAlign w:val="center"/>
          </w:tcPr>
          <w:p w14:paraId="3E97FAA6" w14:textId="72166924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Pyruvate metabolism</w:t>
            </w:r>
            <w:r w:rsidRPr="009622E3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0" w:type="dxa"/>
            <w:vAlign w:val="center"/>
          </w:tcPr>
          <w:p w14:paraId="677774FD" w14:textId="424B7787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0" w:type="dxa"/>
            <w:vAlign w:val="center"/>
          </w:tcPr>
          <w:p w14:paraId="6CD00113" w14:textId="0F1B6026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1.35</w:t>
            </w:r>
          </w:p>
        </w:tc>
        <w:tc>
          <w:tcPr>
            <w:tcW w:w="702" w:type="dxa"/>
          </w:tcPr>
          <w:p w14:paraId="4F23324C" w14:textId="16C8716F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0.097</w:t>
            </w:r>
          </w:p>
        </w:tc>
      </w:tr>
      <w:tr w:rsidR="004B36FA" w:rsidRPr="009622E3" w14:paraId="26FCF46B" w14:textId="144D5E3C" w:rsidTr="004B36FA">
        <w:trPr>
          <w:trHeight w:val="203"/>
        </w:trPr>
        <w:tc>
          <w:tcPr>
            <w:tcW w:w="4878" w:type="dxa"/>
            <w:vAlign w:val="center"/>
          </w:tcPr>
          <w:p w14:paraId="046211AC" w14:textId="5D526FFE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Jak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-STAT signaling pathway</w:t>
            </w:r>
            <w:r w:rsidRPr="009622E3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0" w:type="dxa"/>
            <w:vAlign w:val="center"/>
          </w:tcPr>
          <w:p w14:paraId="414CA6E3" w14:textId="77777777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22E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30" w:type="dxa"/>
            <w:vAlign w:val="center"/>
          </w:tcPr>
          <w:p w14:paraId="34AB342A" w14:textId="0F884ABD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1.29</w:t>
            </w:r>
          </w:p>
        </w:tc>
        <w:tc>
          <w:tcPr>
            <w:tcW w:w="702" w:type="dxa"/>
          </w:tcPr>
          <w:p w14:paraId="7724E85A" w14:textId="5F176F66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0.092</w:t>
            </w:r>
          </w:p>
        </w:tc>
      </w:tr>
      <w:tr w:rsidR="004B36FA" w:rsidRPr="009622E3" w14:paraId="73D5AAF3" w14:textId="5DF2CC9D" w:rsidTr="004B36FA">
        <w:trPr>
          <w:trHeight w:val="203"/>
        </w:trPr>
        <w:tc>
          <w:tcPr>
            <w:tcW w:w="4878" w:type="dxa"/>
            <w:vAlign w:val="center"/>
          </w:tcPr>
          <w:p w14:paraId="3FD20773" w14:textId="1820D8D1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Lipoic acid metabolism**</w:t>
            </w:r>
          </w:p>
        </w:tc>
        <w:tc>
          <w:tcPr>
            <w:tcW w:w="990" w:type="dxa"/>
            <w:vAlign w:val="center"/>
          </w:tcPr>
          <w:p w14:paraId="777499CB" w14:textId="3AF97F08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30" w:type="dxa"/>
            <w:vAlign w:val="center"/>
          </w:tcPr>
          <w:p w14:paraId="4F3D0AD7" w14:textId="6F7D74DF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1.28</w:t>
            </w:r>
          </w:p>
        </w:tc>
        <w:tc>
          <w:tcPr>
            <w:tcW w:w="702" w:type="dxa"/>
          </w:tcPr>
          <w:p w14:paraId="46A0900E" w14:textId="211990C2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4B36FA" w:rsidRPr="009622E3" w14:paraId="6973154C" w14:textId="18C34DF1" w:rsidTr="004B36FA">
        <w:trPr>
          <w:trHeight w:val="203"/>
        </w:trPr>
        <w:tc>
          <w:tcPr>
            <w:tcW w:w="4878" w:type="dxa"/>
            <w:tcBorders>
              <w:bottom w:val="single" w:sz="4" w:space="0" w:color="auto"/>
            </w:tcBorders>
            <w:vAlign w:val="center"/>
          </w:tcPr>
          <w:p w14:paraId="159A74C6" w14:textId="5BFCEB62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Butanoate metabolism**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617E87AD" w14:textId="1BFFC6D2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4E27D715" w14:textId="0B73B255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1.27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1791DCC3" w14:textId="6CD32576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</w:tbl>
    <w:p w14:paraId="53059315" w14:textId="370770E7" w:rsidR="00B63AA4" w:rsidRPr="009622E3" w:rsidRDefault="00B63AA4" w:rsidP="00B63AA4">
      <w:pPr>
        <w:spacing w:after="0"/>
        <w:rPr>
          <w:rFonts w:ascii="Arial" w:eastAsia="MS Mincho" w:hAnsi="Arial" w:cs="Arial"/>
          <w:color w:val="000000"/>
          <w:sz w:val="16"/>
          <w:szCs w:val="16"/>
        </w:rPr>
      </w:pPr>
      <w:r>
        <w:rPr>
          <w:rFonts w:ascii="Arial" w:eastAsia="MS Mincho" w:hAnsi="Arial" w:cs="Arial"/>
          <w:color w:val="000000"/>
          <w:sz w:val="16"/>
          <w:szCs w:val="16"/>
        </w:rPr>
        <w:t>*p-value &lt;0.1; **p-value &lt;0.05</w:t>
      </w:r>
      <w:r w:rsidRPr="009622E3">
        <w:rPr>
          <w:rFonts w:ascii="Arial" w:eastAsia="MS Mincho" w:hAnsi="Arial" w:cs="Arial"/>
          <w:color w:val="000000"/>
          <w:sz w:val="16"/>
          <w:szCs w:val="16"/>
        </w:rPr>
        <w:t xml:space="preserve">; </w:t>
      </w:r>
      <w:proofErr w:type="spellStart"/>
      <w:r w:rsidRPr="009622E3">
        <w:rPr>
          <w:rFonts w:ascii="Arial" w:eastAsia="MS Mincho" w:hAnsi="Arial" w:cs="Arial"/>
          <w:color w:val="000000"/>
          <w:sz w:val="16"/>
          <w:szCs w:val="16"/>
          <w:vertAlign w:val="superscript"/>
        </w:rPr>
        <w:t>a</w:t>
      </w:r>
      <w:r w:rsidRPr="009622E3">
        <w:rPr>
          <w:rFonts w:ascii="Arial" w:eastAsia="MS Mincho" w:hAnsi="Arial" w:cs="Arial"/>
          <w:color w:val="000000"/>
          <w:sz w:val="16"/>
          <w:szCs w:val="16"/>
        </w:rPr>
        <w:t>Number</w:t>
      </w:r>
      <w:proofErr w:type="spellEnd"/>
      <w:r w:rsidRPr="009622E3">
        <w:rPr>
          <w:rFonts w:ascii="Arial" w:eastAsia="MS Mincho" w:hAnsi="Arial" w:cs="Arial"/>
          <w:color w:val="000000"/>
          <w:sz w:val="16"/>
          <w:szCs w:val="16"/>
        </w:rPr>
        <w:t xml:space="preserve"> of genes included in a gene set; </w:t>
      </w:r>
      <w:proofErr w:type="spellStart"/>
      <w:r>
        <w:rPr>
          <w:rFonts w:ascii="Arial" w:eastAsia="MS Mincho" w:hAnsi="Arial" w:cs="Arial"/>
          <w:color w:val="000000"/>
          <w:sz w:val="16"/>
          <w:szCs w:val="16"/>
          <w:vertAlign w:val="superscript"/>
        </w:rPr>
        <w:t>b</w:t>
      </w:r>
      <w:r>
        <w:rPr>
          <w:rFonts w:ascii="Arial" w:eastAsia="MS Mincho" w:hAnsi="Arial" w:cs="Arial"/>
          <w:color w:val="000000"/>
          <w:sz w:val="16"/>
          <w:szCs w:val="16"/>
        </w:rPr>
        <w:t>Normalized</w:t>
      </w:r>
      <w:proofErr w:type="spellEnd"/>
      <w:r>
        <w:rPr>
          <w:rFonts w:ascii="Arial" w:eastAsia="MS Mincho" w:hAnsi="Arial" w:cs="Arial"/>
          <w:color w:val="000000"/>
          <w:sz w:val="16"/>
          <w:szCs w:val="16"/>
        </w:rPr>
        <w:t xml:space="preserve"> Enrichment Score</w:t>
      </w:r>
      <w:r w:rsidR="004B36FA">
        <w:rPr>
          <w:rFonts w:ascii="Arial" w:eastAsia="MS Mincho" w:hAnsi="Arial" w:cs="Arial"/>
          <w:color w:val="000000"/>
          <w:sz w:val="16"/>
          <w:szCs w:val="16"/>
        </w:rPr>
        <w:t xml:space="preserve">; </w:t>
      </w:r>
      <w:proofErr w:type="spellStart"/>
      <w:r w:rsidR="004B36FA" w:rsidRPr="004B36FA">
        <w:rPr>
          <w:rFonts w:ascii="Arial" w:eastAsia="MS Mincho" w:hAnsi="Arial" w:cs="Arial"/>
          <w:color w:val="000000"/>
          <w:sz w:val="16"/>
          <w:szCs w:val="16"/>
          <w:vertAlign w:val="superscript"/>
        </w:rPr>
        <w:t>c</w:t>
      </w:r>
      <w:r w:rsidR="004B36FA">
        <w:rPr>
          <w:rFonts w:ascii="Arial" w:eastAsia="MS Mincho" w:hAnsi="Arial" w:cs="Arial"/>
          <w:color w:val="000000"/>
          <w:sz w:val="16"/>
          <w:szCs w:val="16"/>
        </w:rPr>
        <w:t>Normalized</w:t>
      </w:r>
      <w:proofErr w:type="spellEnd"/>
      <w:r w:rsidR="004B36FA">
        <w:rPr>
          <w:rFonts w:ascii="Arial" w:eastAsia="MS Mincho" w:hAnsi="Arial" w:cs="Arial"/>
          <w:color w:val="000000"/>
          <w:sz w:val="16"/>
          <w:szCs w:val="16"/>
        </w:rPr>
        <w:t xml:space="preserve"> p-value</w:t>
      </w:r>
    </w:p>
    <w:p w14:paraId="366081F1" w14:textId="7013A609" w:rsidR="002C5E32" w:rsidRDefault="002C5E32" w:rsidP="004355F2">
      <w:pPr>
        <w:rPr>
          <w:rFonts w:ascii="Arial" w:hAnsi="Arial" w:cs="Arial"/>
          <w:sz w:val="16"/>
          <w:szCs w:val="16"/>
        </w:rPr>
      </w:pPr>
    </w:p>
    <w:p w14:paraId="0B479634" w14:textId="1BB5C8FF" w:rsidR="00BE60CE" w:rsidRPr="009622E3" w:rsidRDefault="00BE60CE" w:rsidP="00BE60CE">
      <w:pPr>
        <w:rPr>
          <w:rFonts w:ascii="Arial" w:hAnsi="Arial" w:cs="Arial"/>
          <w:sz w:val="16"/>
          <w:szCs w:val="16"/>
        </w:rPr>
      </w:pPr>
      <w:r w:rsidRPr="009622E3">
        <w:rPr>
          <w:rFonts w:ascii="Arial" w:hAnsi="Arial" w:cs="Arial"/>
          <w:b/>
          <w:sz w:val="16"/>
          <w:szCs w:val="16"/>
        </w:rPr>
        <w:t xml:space="preserve">Supplemental Table </w:t>
      </w:r>
      <w:r>
        <w:rPr>
          <w:rFonts w:ascii="Arial" w:hAnsi="Arial" w:cs="Arial"/>
          <w:b/>
          <w:sz w:val="16"/>
          <w:szCs w:val="16"/>
        </w:rPr>
        <w:t>S3c</w:t>
      </w:r>
      <w:r w:rsidRPr="009622E3">
        <w:rPr>
          <w:rFonts w:ascii="Arial" w:hAnsi="Arial" w:cs="Arial"/>
          <w:b/>
          <w:sz w:val="16"/>
          <w:szCs w:val="16"/>
        </w:rPr>
        <w:t>.</w:t>
      </w:r>
      <w:r w:rsidRPr="009622E3">
        <w:rPr>
          <w:rFonts w:ascii="Arial" w:hAnsi="Arial" w:cs="Arial"/>
          <w:sz w:val="16"/>
          <w:szCs w:val="16"/>
        </w:rPr>
        <w:t xml:space="preserve">  Pathways significantly enriched in aphid bacteriocytes </w:t>
      </w:r>
      <w:r>
        <w:rPr>
          <w:rFonts w:ascii="Arial" w:hAnsi="Arial" w:cs="Arial"/>
          <w:sz w:val="16"/>
          <w:szCs w:val="16"/>
        </w:rPr>
        <w:t xml:space="preserve">relative to body cells </w:t>
      </w:r>
      <w:r w:rsidRPr="009622E3">
        <w:rPr>
          <w:rFonts w:ascii="Arial" w:hAnsi="Arial" w:cs="Arial"/>
          <w:sz w:val="16"/>
          <w:szCs w:val="16"/>
        </w:rPr>
        <w:t xml:space="preserve">feeding </w:t>
      </w:r>
      <w:r>
        <w:rPr>
          <w:rFonts w:ascii="Arial" w:hAnsi="Arial" w:cs="Arial"/>
          <w:sz w:val="16"/>
          <w:szCs w:val="16"/>
        </w:rPr>
        <w:t>on both host plants</w:t>
      </w:r>
      <w:r w:rsidRPr="009622E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from differentially methylated genes between bacteriocytes relative to body cells </w:t>
      </w:r>
      <w:r w:rsidRPr="009622E3">
        <w:rPr>
          <w:rFonts w:ascii="Arial" w:hAnsi="Arial" w:cs="Arial"/>
          <w:sz w:val="16"/>
          <w:szCs w:val="16"/>
        </w:rPr>
        <w:t>using Gene Set Enrichment Analysis (GSEA)</w:t>
      </w:r>
    </w:p>
    <w:tbl>
      <w:tblPr>
        <w:tblStyle w:val="TableGrid"/>
        <w:tblW w:w="7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78"/>
        <w:gridCol w:w="990"/>
        <w:gridCol w:w="630"/>
        <w:gridCol w:w="702"/>
      </w:tblGrid>
      <w:tr w:rsidR="004B36FA" w:rsidRPr="009622E3" w14:paraId="7A560D53" w14:textId="0B507819" w:rsidTr="004B36FA">
        <w:trPr>
          <w:trHeight w:val="203"/>
        </w:trPr>
        <w:tc>
          <w:tcPr>
            <w:tcW w:w="487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5A09A1" w14:textId="77777777" w:rsidR="004B36FA" w:rsidRPr="009622E3" w:rsidRDefault="004B36FA" w:rsidP="00DB251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622E3">
              <w:rPr>
                <w:rFonts w:ascii="Arial" w:hAnsi="Arial" w:cs="Arial"/>
                <w:b/>
                <w:sz w:val="16"/>
                <w:szCs w:val="16"/>
              </w:rPr>
              <w:t>Description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D303CEF" w14:textId="77777777" w:rsidR="004B36FA" w:rsidRPr="009622E3" w:rsidRDefault="004B36FA" w:rsidP="00DB251B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9622E3">
              <w:rPr>
                <w:rFonts w:ascii="Arial" w:hAnsi="Arial" w:cs="Arial"/>
                <w:b/>
                <w:sz w:val="16"/>
                <w:szCs w:val="16"/>
              </w:rPr>
              <w:t xml:space="preserve">Set </w:t>
            </w:r>
            <w:proofErr w:type="spellStart"/>
            <w:r w:rsidRPr="009622E3">
              <w:rPr>
                <w:rFonts w:ascii="Arial" w:hAnsi="Arial" w:cs="Arial"/>
                <w:b/>
                <w:sz w:val="16"/>
                <w:szCs w:val="16"/>
              </w:rPr>
              <w:t>size</w:t>
            </w:r>
            <w:r w:rsidRPr="009622E3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9E4F53" w14:textId="77777777" w:rsidR="004B36FA" w:rsidRPr="00363489" w:rsidRDefault="004B36FA" w:rsidP="00DB251B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NES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b</w:t>
            </w:r>
            <w:proofErr w:type="spellEnd"/>
          </w:p>
        </w:tc>
        <w:tc>
          <w:tcPr>
            <w:tcW w:w="702" w:type="dxa"/>
            <w:tcBorders>
              <w:top w:val="single" w:sz="4" w:space="0" w:color="auto"/>
              <w:bottom w:val="double" w:sz="4" w:space="0" w:color="auto"/>
            </w:tcBorders>
          </w:tcPr>
          <w:p w14:paraId="291C198C" w14:textId="0CD30283" w:rsidR="004B36FA" w:rsidRPr="004B36FA" w:rsidRDefault="004B36FA" w:rsidP="00DB251B">
            <w:pPr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P_adj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c</w:t>
            </w:r>
            <w:proofErr w:type="spellEnd"/>
          </w:p>
        </w:tc>
      </w:tr>
      <w:tr w:rsidR="004B36FA" w:rsidRPr="009622E3" w14:paraId="7E97E277" w14:textId="23582449" w:rsidTr="004B36FA">
        <w:trPr>
          <w:trHeight w:val="203"/>
        </w:trPr>
        <w:tc>
          <w:tcPr>
            <w:tcW w:w="6498" w:type="dxa"/>
            <w:gridSpan w:val="3"/>
            <w:tcBorders>
              <w:top w:val="double" w:sz="4" w:space="0" w:color="auto"/>
            </w:tcBorders>
            <w:vAlign w:val="center"/>
          </w:tcPr>
          <w:p w14:paraId="524A11C0" w14:textId="77777777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Alfalfa</w:t>
            </w:r>
            <w:r w:rsidRPr="009622E3">
              <w:rPr>
                <w:rFonts w:ascii="Arial" w:hAnsi="Arial" w:cs="Arial"/>
                <w:b/>
                <w:sz w:val="16"/>
                <w:szCs w:val="16"/>
              </w:rPr>
              <w:t xml:space="preserve"> bacteriocytes vs. Fava </w:t>
            </w:r>
            <w:r>
              <w:rPr>
                <w:rFonts w:ascii="Arial" w:hAnsi="Arial" w:cs="Arial"/>
                <w:b/>
                <w:sz w:val="16"/>
                <w:szCs w:val="16"/>
              </w:rPr>
              <w:t>bacteriocytes</w:t>
            </w:r>
          </w:p>
        </w:tc>
        <w:tc>
          <w:tcPr>
            <w:tcW w:w="702" w:type="dxa"/>
            <w:tcBorders>
              <w:top w:val="double" w:sz="4" w:space="0" w:color="auto"/>
            </w:tcBorders>
          </w:tcPr>
          <w:p w14:paraId="0774D0F3" w14:textId="77777777" w:rsidR="004B36FA" w:rsidRDefault="004B36FA" w:rsidP="00DB251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B36FA" w:rsidRPr="009622E3" w14:paraId="7FF59280" w14:textId="102904AF" w:rsidTr="004B36FA">
        <w:trPr>
          <w:trHeight w:val="203"/>
        </w:trPr>
        <w:tc>
          <w:tcPr>
            <w:tcW w:w="4878" w:type="dxa"/>
            <w:vAlign w:val="center"/>
          </w:tcPr>
          <w:p w14:paraId="23D7E8C4" w14:textId="00B55AE6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Metabolic pathways **</w:t>
            </w:r>
          </w:p>
        </w:tc>
        <w:tc>
          <w:tcPr>
            <w:tcW w:w="990" w:type="dxa"/>
            <w:vAlign w:val="center"/>
          </w:tcPr>
          <w:p w14:paraId="2D0972A8" w14:textId="43B76206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630" w:type="dxa"/>
            <w:vAlign w:val="center"/>
          </w:tcPr>
          <w:p w14:paraId="5E806D7F" w14:textId="29866053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1.68</w:t>
            </w:r>
          </w:p>
        </w:tc>
        <w:tc>
          <w:tcPr>
            <w:tcW w:w="702" w:type="dxa"/>
          </w:tcPr>
          <w:p w14:paraId="10A55F1B" w14:textId="7D042B7D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0.006</w:t>
            </w:r>
          </w:p>
        </w:tc>
      </w:tr>
      <w:tr w:rsidR="004B36FA" w:rsidRPr="009622E3" w14:paraId="7D5076C6" w14:textId="76E097EC" w:rsidTr="004B36FA">
        <w:trPr>
          <w:trHeight w:val="203"/>
        </w:trPr>
        <w:tc>
          <w:tcPr>
            <w:tcW w:w="4878" w:type="dxa"/>
            <w:vAlign w:val="center"/>
          </w:tcPr>
          <w:p w14:paraId="774E36D0" w14:textId="4761EB57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Lysosome</w:t>
            </w:r>
            <w:r w:rsidRPr="009622E3">
              <w:rPr>
                <w:rFonts w:ascii="Arial" w:hAnsi="Arial" w:cs="Arial"/>
                <w:sz w:val="16"/>
                <w:szCs w:val="16"/>
              </w:rPr>
              <w:t xml:space="preserve"> **</w:t>
            </w:r>
          </w:p>
        </w:tc>
        <w:tc>
          <w:tcPr>
            <w:tcW w:w="990" w:type="dxa"/>
            <w:vAlign w:val="center"/>
          </w:tcPr>
          <w:p w14:paraId="0E99AEF2" w14:textId="23A91D19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30" w:type="dxa"/>
            <w:vAlign w:val="center"/>
          </w:tcPr>
          <w:p w14:paraId="38D92440" w14:textId="12473CB9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1.65</w:t>
            </w:r>
          </w:p>
        </w:tc>
        <w:tc>
          <w:tcPr>
            <w:tcW w:w="702" w:type="dxa"/>
          </w:tcPr>
          <w:p w14:paraId="21312396" w14:textId="24055E83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</w:tr>
      <w:tr w:rsidR="004B36FA" w:rsidRPr="009622E3" w14:paraId="2742F1E4" w14:textId="23354E37" w:rsidTr="004B36FA">
        <w:trPr>
          <w:trHeight w:val="203"/>
        </w:trPr>
        <w:tc>
          <w:tcPr>
            <w:tcW w:w="4878" w:type="dxa"/>
            <w:vAlign w:val="center"/>
          </w:tcPr>
          <w:p w14:paraId="12E98DBB" w14:textId="440CFA44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Protein processing in endoplasmic reticulum*</w:t>
            </w:r>
            <w:r w:rsidRPr="009622E3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0" w:type="dxa"/>
            <w:vAlign w:val="center"/>
          </w:tcPr>
          <w:p w14:paraId="24EF05E5" w14:textId="648E0B62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30" w:type="dxa"/>
            <w:vAlign w:val="center"/>
          </w:tcPr>
          <w:p w14:paraId="00C1D632" w14:textId="33BD71CE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1.51</w:t>
            </w:r>
          </w:p>
        </w:tc>
        <w:tc>
          <w:tcPr>
            <w:tcW w:w="702" w:type="dxa"/>
          </w:tcPr>
          <w:p w14:paraId="4F06626E" w14:textId="08BF5CED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0.04</w:t>
            </w:r>
          </w:p>
        </w:tc>
      </w:tr>
      <w:tr w:rsidR="004B36FA" w:rsidRPr="009622E3" w14:paraId="28F81AF6" w14:textId="30D3F161" w:rsidTr="004B36FA">
        <w:trPr>
          <w:trHeight w:val="203"/>
        </w:trPr>
        <w:tc>
          <w:tcPr>
            <w:tcW w:w="4878" w:type="dxa"/>
            <w:vAlign w:val="center"/>
          </w:tcPr>
          <w:p w14:paraId="4E46745F" w14:textId="5801EE5C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Selenocompound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metabolism</w:t>
            </w:r>
            <w:r w:rsidRPr="009622E3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990" w:type="dxa"/>
            <w:vAlign w:val="center"/>
          </w:tcPr>
          <w:p w14:paraId="7FEB3CDB" w14:textId="156329A5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30" w:type="dxa"/>
            <w:vAlign w:val="center"/>
          </w:tcPr>
          <w:p w14:paraId="7E8AAC12" w14:textId="51E2A586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1.47</w:t>
            </w:r>
          </w:p>
        </w:tc>
        <w:tc>
          <w:tcPr>
            <w:tcW w:w="702" w:type="dxa"/>
          </w:tcPr>
          <w:p w14:paraId="4DDFD1E1" w14:textId="086C4C04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0.002</w:t>
            </w:r>
          </w:p>
        </w:tc>
      </w:tr>
      <w:tr w:rsidR="004B36FA" w:rsidRPr="009622E3" w14:paraId="06E6EBF5" w14:textId="38FA1EA4" w:rsidTr="004B36FA">
        <w:trPr>
          <w:trHeight w:val="203"/>
        </w:trPr>
        <w:tc>
          <w:tcPr>
            <w:tcW w:w="4878" w:type="dxa"/>
            <w:tcBorders>
              <w:bottom w:val="single" w:sz="4" w:space="0" w:color="auto"/>
            </w:tcBorders>
            <w:vAlign w:val="center"/>
          </w:tcPr>
          <w:p w14:paraId="6DC29AF8" w14:textId="0209486D" w:rsidR="004B36FA" w:rsidRPr="009622E3" w:rsidRDefault="004B36FA" w:rsidP="00DB251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Tryptophan metabolism**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5DC012EE" w14:textId="6C35FC2C" w:rsidR="004B36FA" w:rsidRPr="009622E3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2CA31199" w14:textId="24704B94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1.34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6E764A46" w14:textId="224DB961" w:rsidR="004B36FA" w:rsidRDefault="004B36FA" w:rsidP="00DB25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0.083</w:t>
            </w:r>
          </w:p>
        </w:tc>
      </w:tr>
    </w:tbl>
    <w:p w14:paraId="63F6D385" w14:textId="4900A5C2" w:rsidR="00BE60CE" w:rsidRPr="009622E3" w:rsidRDefault="00BE60CE" w:rsidP="00BE60CE">
      <w:pPr>
        <w:spacing w:after="0"/>
        <w:rPr>
          <w:rFonts w:ascii="Arial" w:eastAsia="MS Mincho" w:hAnsi="Arial" w:cs="Arial"/>
          <w:color w:val="000000"/>
          <w:sz w:val="16"/>
          <w:szCs w:val="16"/>
        </w:rPr>
      </w:pPr>
      <w:r>
        <w:rPr>
          <w:rFonts w:ascii="Arial" w:eastAsia="MS Mincho" w:hAnsi="Arial" w:cs="Arial"/>
          <w:color w:val="000000"/>
          <w:sz w:val="16"/>
          <w:szCs w:val="16"/>
        </w:rPr>
        <w:t>*p-value &lt;0.1; **p-value &lt;0.05</w:t>
      </w:r>
      <w:r w:rsidRPr="009622E3">
        <w:rPr>
          <w:rFonts w:ascii="Arial" w:eastAsia="MS Mincho" w:hAnsi="Arial" w:cs="Arial"/>
          <w:color w:val="000000"/>
          <w:sz w:val="16"/>
          <w:szCs w:val="16"/>
        </w:rPr>
        <w:t xml:space="preserve">; </w:t>
      </w:r>
      <w:proofErr w:type="spellStart"/>
      <w:r w:rsidRPr="009622E3">
        <w:rPr>
          <w:rFonts w:ascii="Arial" w:eastAsia="MS Mincho" w:hAnsi="Arial" w:cs="Arial"/>
          <w:color w:val="000000"/>
          <w:sz w:val="16"/>
          <w:szCs w:val="16"/>
          <w:vertAlign w:val="superscript"/>
        </w:rPr>
        <w:t>a</w:t>
      </w:r>
      <w:r w:rsidRPr="009622E3">
        <w:rPr>
          <w:rFonts w:ascii="Arial" w:eastAsia="MS Mincho" w:hAnsi="Arial" w:cs="Arial"/>
          <w:color w:val="000000"/>
          <w:sz w:val="16"/>
          <w:szCs w:val="16"/>
        </w:rPr>
        <w:t>Number</w:t>
      </w:r>
      <w:proofErr w:type="spellEnd"/>
      <w:r w:rsidRPr="009622E3">
        <w:rPr>
          <w:rFonts w:ascii="Arial" w:eastAsia="MS Mincho" w:hAnsi="Arial" w:cs="Arial"/>
          <w:color w:val="000000"/>
          <w:sz w:val="16"/>
          <w:szCs w:val="16"/>
        </w:rPr>
        <w:t xml:space="preserve"> of genes included in a gene set; </w:t>
      </w:r>
      <w:proofErr w:type="spellStart"/>
      <w:r>
        <w:rPr>
          <w:rFonts w:ascii="Arial" w:eastAsia="MS Mincho" w:hAnsi="Arial" w:cs="Arial"/>
          <w:color w:val="000000"/>
          <w:sz w:val="16"/>
          <w:szCs w:val="16"/>
          <w:vertAlign w:val="superscript"/>
        </w:rPr>
        <w:t>b</w:t>
      </w:r>
      <w:r>
        <w:rPr>
          <w:rFonts w:ascii="Arial" w:eastAsia="MS Mincho" w:hAnsi="Arial" w:cs="Arial"/>
          <w:color w:val="000000"/>
          <w:sz w:val="16"/>
          <w:szCs w:val="16"/>
        </w:rPr>
        <w:t>Normalized</w:t>
      </w:r>
      <w:proofErr w:type="spellEnd"/>
      <w:r>
        <w:rPr>
          <w:rFonts w:ascii="Arial" w:eastAsia="MS Mincho" w:hAnsi="Arial" w:cs="Arial"/>
          <w:color w:val="000000"/>
          <w:sz w:val="16"/>
          <w:szCs w:val="16"/>
        </w:rPr>
        <w:t xml:space="preserve"> Enrichment Score</w:t>
      </w:r>
      <w:r w:rsidR="004B36FA">
        <w:rPr>
          <w:rFonts w:ascii="Arial" w:eastAsia="MS Mincho" w:hAnsi="Arial" w:cs="Arial"/>
          <w:color w:val="000000"/>
          <w:sz w:val="16"/>
          <w:szCs w:val="16"/>
        </w:rPr>
        <w:t xml:space="preserve">; </w:t>
      </w:r>
      <w:proofErr w:type="spellStart"/>
      <w:r w:rsidR="004B36FA" w:rsidRPr="004B36FA">
        <w:rPr>
          <w:rFonts w:ascii="Arial" w:eastAsia="MS Mincho" w:hAnsi="Arial" w:cs="Arial"/>
          <w:color w:val="000000"/>
          <w:sz w:val="16"/>
          <w:szCs w:val="16"/>
          <w:vertAlign w:val="superscript"/>
        </w:rPr>
        <w:t>c</w:t>
      </w:r>
      <w:r w:rsidR="004B36FA">
        <w:rPr>
          <w:rFonts w:ascii="Arial" w:eastAsia="MS Mincho" w:hAnsi="Arial" w:cs="Arial"/>
          <w:color w:val="000000"/>
          <w:sz w:val="16"/>
          <w:szCs w:val="16"/>
        </w:rPr>
        <w:t>Normalized</w:t>
      </w:r>
      <w:proofErr w:type="spellEnd"/>
      <w:r w:rsidR="004B36FA">
        <w:rPr>
          <w:rFonts w:ascii="Arial" w:eastAsia="MS Mincho" w:hAnsi="Arial" w:cs="Arial"/>
          <w:color w:val="000000"/>
          <w:sz w:val="16"/>
          <w:szCs w:val="16"/>
        </w:rPr>
        <w:t xml:space="preserve"> p-value;</w:t>
      </w:r>
    </w:p>
    <w:p w14:paraId="3CD59351" w14:textId="68816191" w:rsidR="00BE60CE" w:rsidRDefault="00BE60CE" w:rsidP="004355F2">
      <w:pPr>
        <w:rPr>
          <w:rFonts w:ascii="Arial" w:hAnsi="Arial" w:cs="Arial"/>
          <w:sz w:val="16"/>
          <w:szCs w:val="16"/>
        </w:rPr>
      </w:pPr>
    </w:p>
    <w:p w14:paraId="4688DB08" w14:textId="77777777" w:rsidR="00BE60CE" w:rsidRPr="009622E3" w:rsidRDefault="00BE60CE" w:rsidP="004355F2">
      <w:pPr>
        <w:rPr>
          <w:rFonts w:ascii="Arial" w:hAnsi="Arial" w:cs="Arial"/>
          <w:sz w:val="16"/>
          <w:szCs w:val="16"/>
        </w:rPr>
      </w:pPr>
    </w:p>
    <w:sectPr w:rsidR="00BE60CE" w:rsidRPr="009622E3" w:rsidSect="002C5E3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E32"/>
    <w:rsid w:val="00011B10"/>
    <w:rsid w:val="000922DF"/>
    <w:rsid w:val="000A06FB"/>
    <w:rsid w:val="000A6B64"/>
    <w:rsid w:val="00165007"/>
    <w:rsid w:val="001D2C9D"/>
    <w:rsid w:val="00224B3F"/>
    <w:rsid w:val="002C5E32"/>
    <w:rsid w:val="00363489"/>
    <w:rsid w:val="003737AE"/>
    <w:rsid w:val="00427823"/>
    <w:rsid w:val="004355F2"/>
    <w:rsid w:val="0043631E"/>
    <w:rsid w:val="004B36FA"/>
    <w:rsid w:val="00514707"/>
    <w:rsid w:val="00542EB8"/>
    <w:rsid w:val="005D5940"/>
    <w:rsid w:val="005E65B0"/>
    <w:rsid w:val="006B4861"/>
    <w:rsid w:val="006C4415"/>
    <w:rsid w:val="006D3A73"/>
    <w:rsid w:val="00782AF7"/>
    <w:rsid w:val="007D29D6"/>
    <w:rsid w:val="00802330"/>
    <w:rsid w:val="00820312"/>
    <w:rsid w:val="00862300"/>
    <w:rsid w:val="00876B48"/>
    <w:rsid w:val="00891D56"/>
    <w:rsid w:val="008D64FC"/>
    <w:rsid w:val="00901ACC"/>
    <w:rsid w:val="009416E7"/>
    <w:rsid w:val="009445FF"/>
    <w:rsid w:val="009622E3"/>
    <w:rsid w:val="009D26EE"/>
    <w:rsid w:val="009D5530"/>
    <w:rsid w:val="00A24DDC"/>
    <w:rsid w:val="00B424D9"/>
    <w:rsid w:val="00B63AA4"/>
    <w:rsid w:val="00BE60CE"/>
    <w:rsid w:val="00C22AC6"/>
    <w:rsid w:val="00C73CC1"/>
    <w:rsid w:val="00C91595"/>
    <w:rsid w:val="00CC627B"/>
    <w:rsid w:val="00D61BE9"/>
    <w:rsid w:val="00DE3C0F"/>
    <w:rsid w:val="00DF6BEA"/>
    <w:rsid w:val="00E15A3B"/>
    <w:rsid w:val="00E172EE"/>
    <w:rsid w:val="00E653E8"/>
    <w:rsid w:val="00EA1283"/>
    <w:rsid w:val="00EF5B0C"/>
    <w:rsid w:val="00EF7483"/>
    <w:rsid w:val="00F36E36"/>
    <w:rsid w:val="00F51E8F"/>
    <w:rsid w:val="00F573AE"/>
    <w:rsid w:val="00F83783"/>
    <w:rsid w:val="00FB4F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D751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914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55F2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914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55F2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Hansen</dc:creator>
  <cp:lastModifiedBy>Copy Editor</cp:lastModifiedBy>
  <cp:revision>2</cp:revision>
  <cp:lastPrinted>2013-06-14T20:36:00Z</cp:lastPrinted>
  <dcterms:created xsi:type="dcterms:W3CDTF">2018-05-16T16:03:00Z</dcterms:created>
  <dcterms:modified xsi:type="dcterms:W3CDTF">2018-05-16T16:03:00Z</dcterms:modified>
</cp:coreProperties>
</file>