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943600" cy="2630805"/>
            <wp:effectExtent l="0" t="0" r="0" b="0"/>
            <wp:docPr id="1" name="Picture 11" descr="D:\PhD lox\lox_manuscripts_04(rna_seq)\Manuscript3\figS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1" descr="D:\PhD lox\lox_manuscripts_04(rna_seq)\Manuscript3\figS08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Figure S9: GO/KEGG enrichment analysis of differently expressed genes between peanut genotypes due to the infection vs control of the newly assembled transcripts. </w:t>
      </w:r>
      <w:r>
        <w:rPr>
          <w:rFonts w:cs="Times New Roman" w:ascii="Times New Roman" w:hAnsi="Times New Roman" w:asciiTheme="majorBidi" w:cstheme="majorBidi" w:hAnsiTheme="majorBidi"/>
          <w:b/>
          <w:bCs/>
          <w:sz w:val="24"/>
          <w:szCs w:val="24"/>
        </w:rPr>
        <w:t>A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. The 20 most significant GO terms extracted by GO enrichment analysis; </w:t>
      </w:r>
      <w:r>
        <w:rPr>
          <w:rFonts w:cs="Times New Roman" w:ascii="Times New Roman" w:hAnsi="Times New Roman" w:asciiTheme="majorBidi" w:cstheme="majorBidi" w:hAnsiTheme="majorBidi"/>
          <w:b/>
          <w:bCs/>
          <w:sz w:val="24"/>
          <w:szCs w:val="24"/>
        </w:rPr>
        <w:t xml:space="preserve">B. 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KEGG enrichment analysis carried out by keggseq package, Rich_factor: the ratio of the differentially expressed genes to the all genes that were annotated in the pathway.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62</Words>
  <Characters>348</Characters>
  <CharactersWithSpaces>409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2018-03-06T09:25:03Z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