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A5163" w14:textId="77777777" w:rsidR="003D29EE" w:rsidRDefault="003D29EE" w:rsidP="003D29EE">
      <w:pPr>
        <w:widowControl w:val="0"/>
        <w:pBdr>
          <w:top w:val="nil"/>
          <w:left w:val="nil"/>
          <w:bottom w:val="nil"/>
          <w:right w:val="nil"/>
          <w:between w:val="nil"/>
        </w:pBdr>
        <w:spacing w:line="240" w:lineRule="auto"/>
        <w:rPr>
          <w:lang w:val="en-US"/>
        </w:rPr>
      </w:pPr>
      <w:r w:rsidRPr="005940E7">
        <w:rPr>
          <w:b/>
          <w:bCs/>
          <w:lang w:val="en-US"/>
        </w:rPr>
        <w:t>Figure S1. Visualization of wild-type W22 and mutant allele RNA-seq read coverage for three genes</w:t>
      </w:r>
      <w:r w:rsidRPr="008C7E90">
        <w:rPr>
          <w:b/>
          <w:bCs/>
          <w:lang w:val="en-US"/>
        </w:rPr>
        <w:t>.</w:t>
      </w:r>
      <w:r w:rsidRPr="009C2248">
        <w:rPr>
          <w:b/>
          <w:bCs/>
          <w:lang w:val="en-US"/>
        </w:rPr>
        <w:t xml:space="preserve"> </w:t>
      </w:r>
      <w:r w:rsidRPr="00697F52">
        <w:rPr>
          <w:lang w:val="en-US"/>
        </w:rPr>
        <w:t xml:space="preserve">IGV was utilized to visualize the coverage of RNA-seq reads for one biological replicate of each mutant allele for three genes that each have two mutant alleles; </w:t>
      </w:r>
      <w:r w:rsidRPr="00697F52">
        <w:rPr>
          <w:i/>
          <w:iCs/>
          <w:lang w:val="en-US"/>
        </w:rPr>
        <w:t>SBP20</w:t>
      </w:r>
      <w:r w:rsidRPr="00697F52">
        <w:rPr>
          <w:lang w:val="en-US"/>
        </w:rPr>
        <w:t xml:space="preserve"> (Zm00004b024383), </w:t>
      </w:r>
      <w:r w:rsidRPr="00697F52">
        <w:rPr>
          <w:i/>
          <w:iCs/>
          <w:lang w:val="en-US"/>
        </w:rPr>
        <w:t>WRKY87</w:t>
      </w:r>
      <w:r w:rsidRPr="00697F52">
        <w:rPr>
          <w:lang w:val="en-US"/>
        </w:rPr>
        <w:t xml:space="preserve"> (</w:t>
      </w:r>
      <w:r w:rsidRPr="00697F52">
        <w:rPr>
          <w:i/>
          <w:iCs/>
          <w:lang w:val="en-US"/>
        </w:rPr>
        <w:t>Zm00004b023521</w:t>
      </w:r>
      <w:r w:rsidRPr="00697F52">
        <w:rPr>
          <w:lang w:val="en-US"/>
        </w:rPr>
        <w:t xml:space="preserve">) and </w:t>
      </w:r>
      <w:r w:rsidRPr="00697F52">
        <w:rPr>
          <w:i/>
          <w:iCs/>
          <w:lang w:val="en-US"/>
        </w:rPr>
        <w:t>BAF60.21</w:t>
      </w:r>
      <w:r w:rsidRPr="00697F52">
        <w:rPr>
          <w:lang w:val="en-US"/>
        </w:rPr>
        <w:t xml:space="preserve"> (</w:t>
      </w:r>
      <w:r w:rsidRPr="00697F52">
        <w:rPr>
          <w:i/>
          <w:iCs/>
          <w:lang w:val="en-US"/>
        </w:rPr>
        <w:t>Zm00004b012791</w:t>
      </w:r>
      <w:r w:rsidRPr="00697F52">
        <w:rPr>
          <w:lang w:val="en-US"/>
        </w:rPr>
        <w:t xml:space="preserve">). The mutant alleles for: </w:t>
      </w:r>
      <w:r w:rsidRPr="00697F52">
        <w:rPr>
          <w:i/>
          <w:iCs/>
          <w:lang w:val="en-US"/>
        </w:rPr>
        <w:t>SBP20</w:t>
      </w:r>
      <w:r w:rsidRPr="00697F52">
        <w:rPr>
          <w:lang w:val="en-US"/>
        </w:rPr>
        <w:t xml:space="preserve"> (green), </w:t>
      </w:r>
      <w:r w:rsidRPr="00697F52">
        <w:rPr>
          <w:i/>
          <w:iCs/>
          <w:lang w:val="en-US"/>
        </w:rPr>
        <w:t xml:space="preserve">sbp20-m2 </w:t>
      </w:r>
      <w:r w:rsidRPr="00697F52">
        <w:rPr>
          <w:lang w:val="en-US"/>
        </w:rPr>
        <w:t xml:space="preserve">(mu1084360) and </w:t>
      </w:r>
      <w:r w:rsidRPr="00697F52">
        <w:rPr>
          <w:i/>
          <w:iCs/>
          <w:lang w:val="en-US"/>
        </w:rPr>
        <w:t>sbp20-m3</w:t>
      </w:r>
      <w:r w:rsidRPr="00697F52">
        <w:rPr>
          <w:lang w:val="en-US"/>
        </w:rPr>
        <w:t xml:space="preserve"> (mu1091327); </w:t>
      </w:r>
      <w:r w:rsidRPr="00697F52">
        <w:rPr>
          <w:i/>
          <w:iCs/>
          <w:lang w:val="en-US"/>
        </w:rPr>
        <w:t>WRKY87</w:t>
      </w:r>
      <w:r w:rsidRPr="00697F52">
        <w:rPr>
          <w:lang w:val="en-US"/>
        </w:rPr>
        <w:t xml:space="preserve"> (orange), </w:t>
      </w:r>
      <w:r w:rsidRPr="00697F52">
        <w:rPr>
          <w:i/>
          <w:iCs/>
          <w:lang w:val="en-US"/>
        </w:rPr>
        <w:t>wrky87-m1</w:t>
      </w:r>
      <w:r w:rsidRPr="00697F52">
        <w:rPr>
          <w:lang w:val="en-US"/>
        </w:rPr>
        <w:t xml:space="preserve"> (mu1067257) and </w:t>
      </w:r>
      <w:r w:rsidRPr="00697F52">
        <w:rPr>
          <w:i/>
          <w:iCs/>
          <w:lang w:val="en-US"/>
        </w:rPr>
        <w:t>wrky87-m2</w:t>
      </w:r>
      <w:r w:rsidRPr="00697F52">
        <w:rPr>
          <w:lang w:val="en-US"/>
        </w:rPr>
        <w:t xml:space="preserve"> (mu1091217); </w:t>
      </w:r>
      <w:r w:rsidRPr="00697F52">
        <w:rPr>
          <w:i/>
          <w:iCs/>
          <w:lang w:val="en-US"/>
        </w:rPr>
        <w:t>BAF60.21</w:t>
      </w:r>
      <w:r w:rsidRPr="00697F52">
        <w:rPr>
          <w:lang w:val="en-US"/>
        </w:rPr>
        <w:t xml:space="preserve"> (blue), </w:t>
      </w:r>
      <w:r w:rsidRPr="00697F52">
        <w:rPr>
          <w:i/>
          <w:iCs/>
          <w:lang w:val="en-US"/>
        </w:rPr>
        <w:t>baf60.21-m1</w:t>
      </w:r>
      <w:r w:rsidRPr="00697F52">
        <w:rPr>
          <w:lang w:val="en-US"/>
        </w:rPr>
        <w:t xml:space="preserve"> (mu1034781) and </w:t>
      </w:r>
      <w:r w:rsidRPr="00697F52">
        <w:rPr>
          <w:i/>
          <w:iCs/>
          <w:lang w:val="en-US"/>
        </w:rPr>
        <w:t>baf60.21-m2</w:t>
      </w:r>
      <w:r w:rsidRPr="00697F52">
        <w:rPr>
          <w:lang w:val="en-US"/>
        </w:rPr>
        <w:t xml:space="preserve"> (mu1092086) all show reduced coverage in the regions flanking their respective annotated </w:t>
      </w:r>
      <w:r w:rsidRPr="00697F52">
        <w:rPr>
          <w:i/>
          <w:iCs/>
          <w:lang w:val="en-US"/>
        </w:rPr>
        <w:t>Mu</w:t>
      </w:r>
      <w:r w:rsidRPr="00697F52">
        <w:rPr>
          <w:lang w:val="en-US"/>
        </w:rPr>
        <w:t xml:space="preserve"> insertions (triangles) in the mutant samples compared to W22 wild-type (black).</w:t>
      </w:r>
    </w:p>
    <w:p w14:paraId="5631244C" w14:textId="77777777" w:rsidR="003D29EE" w:rsidRPr="009C2248" w:rsidRDefault="003D29EE" w:rsidP="003D29EE">
      <w:pPr>
        <w:widowControl w:val="0"/>
        <w:pBdr>
          <w:top w:val="nil"/>
          <w:left w:val="nil"/>
          <w:bottom w:val="nil"/>
          <w:right w:val="nil"/>
          <w:between w:val="nil"/>
        </w:pBdr>
        <w:spacing w:line="240" w:lineRule="auto"/>
        <w:rPr>
          <w:lang w:val="en-US"/>
        </w:rPr>
      </w:pPr>
    </w:p>
    <w:p w14:paraId="364A4F93" w14:textId="77777777" w:rsidR="003D29EE" w:rsidRPr="00D2702A" w:rsidRDefault="003D29EE" w:rsidP="003D29EE">
      <w:pPr>
        <w:widowControl w:val="0"/>
        <w:pBdr>
          <w:top w:val="nil"/>
          <w:left w:val="nil"/>
          <w:bottom w:val="nil"/>
          <w:right w:val="nil"/>
          <w:between w:val="nil"/>
        </w:pBdr>
        <w:spacing w:line="240" w:lineRule="auto"/>
        <w:rPr>
          <w:lang w:val="en-US"/>
        </w:rPr>
      </w:pPr>
      <w:r w:rsidRPr="00D2702A">
        <w:rPr>
          <w:b/>
          <w:bCs/>
          <w:lang w:val="en-US"/>
        </w:rPr>
        <w:t xml:space="preserve">Figure S2. </w:t>
      </w:r>
      <w:r w:rsidRPr="009C2248">
        <w:rPr>
          <w:b/>
          <w:bCs/>
          <w:i/>
          <w:iCs/>
          <w:lang w:val="en-US"/>
        </w:rPr>
        <w:t xml:space="preserve">De novo </w:t>
      </w:r>
      <w:r w:rsidRPr="00D2702A">
        <w:rPr>
          <w:b/>
          <w:bCs/>
          <w:lang w:val="en-US"/>
        </w:rPr>
        <w:t>assembly transcript structures of 33 mutant alleles and wild-type W22 control.</w:t>
      </w:r>
      <w:r w:rsidRPr="00697F52">
        <w:rPr>
          <w:rFonts w:eastAsiaTheme="minorEastAsia"/>
          <w:color w:val="000000" w:themeColor="text1"/>
          <w:kern w:val="24"/>
          <w:lang w:val="en-US"/>
        </w:rPr>
        <w:t xml:space="preserve"> </w:t>
      </w:r>
      <w:r w:rsidRPr="00697F52">
        <w:rPr>
          <w:lang w:val="en-US"/>
        </w:rPr>
        <w:t xml:space="preserve">Schematic of transcripts assembled from the RNA-seq data generated for each wild-type W22 gene and corresponding mutant allele(s). All transcripts are shown to scale by sequence length (kilobase scale included). Mutant allele transcripts are positioned based on alignments to the W22 transcript assembly for each gene. Transcript sequences are colored by sequence identity to the annotated gene cDNA (navy), </w:t>
      </w:r>
      <w:r w:rsidRPr="00697F52">
        <w:rPr>
          <w:i/>
          <w:iCs/>
          <w:lang w:val="en-US"/>
        </w:rPr>
        <w:t>Mu</w:t>
      </w:r>
      <w:r w:rsidRPr="00697F52">
        <w:rPr>
          <w:lang w:val="en-US"/>
        </w:rPr>
        <w:t xml:space="preserve"> (red), neither the annotated gene cDNA or </w:t>
      </w:r>
      <w:r w:rsidRPr="00697F52">
        <w:rPr>
          <w:i/>
          <w:iCs/>
          <w:lang w:val="en-US"/>
        </w:rPr>
        <w:t>Mu</w:t>
      </w:r>
      <w:r w:rsidRPr="00697F52">
        <w:rPr>
          <w:lang w:val="en-US"/>
        </w:rPr>
        <w:t xml:space="preserve"> (unclassified, gray), or intron (blue). Unclassified sequence that is shared between W22 and mutant allele transcript assemblies is colored dark gray.  </w:t>
      </w:r>
    </w:p>
    <w:p w14:paraId="5BDB9DAE" w14:textId="77777777" w:rsidR="003D29EE" w:rsidRDefault="003D29EE" w:rsidP="003D29EE">
      <w:pPr>
        <w:widowControl w:val="0"/>
        <w:pBdr>
          <w:top w:val="nil"/>
          <w:left w:val="nil"/>
          <w:bottom w:val="nil"/>
          <w:right w:val="nil"/>
          <w:between w:val="nil"/>
        </w:pBdr>
        <w:spacing w:line="240" w:lineRule="auto"/>
      </w:pPr>
    </w:p>
    <w:p w14:paraId="133D0FE7" w14:textId="77777777" w:rsidR="003D29EE" w:rsidRPr="00697F52" w:rsidRDefault="003D29EE" w:rsidP="003D29EE">
      <w:pPr>
        <w:widowControl w:val="0"/>
        <w:pBdr>
          <w:top w:val="nil"/>
          <w:left w:val="nil"/>
          <w:bottom w:val="nil"/>
          <w:right w:val="nil"/>
          <w:between w:val="nil"/>
        </w:pBdr>
        <w:spacing w:line="240" w:lineRule="auto"/>
        <w:rPr>
          <w:b/>
          <w:bCs/>
          <w:lang w:val="en-US"/>
        </w:rPr>
      </w:pPr>
      <w:r w:rsidRPr="005940E7">
        <w:rPr>
          <w:b/>
          <w:bCs/>
          <w:lang w:val="en-US"/>
        </w:rPr>
        <w:t>Figure S</w:t>
      </w:r>
      <w:r>
        <w:rPr>
          <w:b/>
          <w:bCs/>
          <w:lang w:val="en-US"/>
        </w:rPr>
        <w:t>3</w:t>
      </w:r>
      <w:r w:rsidRPr="005940E7">
        <w:rPr>
          <w:b/>
          <w:bCs/>
          <w:lang w:val="en-US"/>
        </w:rPr>
        <w:t xml:space="preserve">. Determination of </w:t>
      </w:r>
      <w:r w:rsidRPr="009C2248">
        <w:rPr>
          <w:b/>
          <w:bCs/>
          <w:i/>
          <w:iCs/>
          <w:lang w:val="en-US"/>
        </w:rPr>
        <w:t>Mu</w:t>
      </w:r>
      <w:r w:rsidRPr="005940E7">
        <w:rPr>
          <w:b/>
          <w:bCs/>
          <w:lang w:val="en-US"/>
        </w:rPr>
        <w:t xml:space="preserve"> element identity and orientation by PCR using </w:t>
      </w:r>
      <w:r w:rsidRPr="005940E7">
        <w:rPr>
          <w:b/>
          <w:bCs/>
          <w:i/>
          <w:iCs/>
          <w:lang w:val="en-US"/>
        </w:rPr>
        <w:t>Mu</w:t>
      </w:r>
      <w:r w:rsidRPr="005940E7">
        <w:rPr>
          <w:b/>
          <w:bCs/>
          <w:lang w:val="en-US"/>
        </w:rPr>
        <w:t xml:space="preserve"> element specific primers.</w:t>
      </w:r>
      <w:r w:rsidRPr="009C2248">
        <w:rPr>
          <w:lang w:val="en-US"/>
        </w:rPr>
        <w:t xml:space="preserve"> </w:t>
      </w:r>
      <w:r w:rsidRPr="00697F52">
        <w:rPr>
          <w:b/>
          <w:bCs/>
          <w:lang w:val="en-US"/>
        </w:rPr>
        <w:t xml:space="preserve">A) </w:t>
      </w:r>
      <w:r w:rsidRPr="00697F52">
        <w:rPr>
          <w:lang w:val="en-US"/>
        </w:rPr>
        <w:t xml:space="preserve">Schematic of genomic DNA primer design for identifying the forward or reverse orientation of </w:t>
      </w:r>
      <w:r w:rsidRPr="00697F52">
        <w:rPr>
          <w:i/>
          <w:iCs/>
          <w:lang w:val="en-US"/>
        </w:rPr>
        <w:t>Mu</w:t>
      </w:r>
      <w:r w:rsidRPr="00697F52">
        <w:rPr>
          <w:lang w:val="en-US"/>
        </w:rPr>
        <w:t xml:space="preserve">. Gene specific primers (F = Forward, R = Reverse: navy) and predicted </w:t>
      </w:r>
      <w:r w:rsidRPr="00697F52">
        <w:rPr>
          <w:i/>
          <w:iCs/>
          <w:lang w:val="en-US"/>
        </w:rPr>
        <w:t>Mu</w:t>
      </w:r>
      <w:r w:rsidRPr="00697F52">
        <w:rPr>
          <w:lang w:val="en-US"/>
        </w:rPr>
        <w:t xml:space="preserve"> element primers with specificity to either the 5’ TIR (5: light blue) or the 3’ TIR (3: yellow) of the predicted </w:t>
      </w:r>
      <w:r w:rsidRPr="00697F52">
        <w:rPr>
          <w:i/>
          <w:iCs/>
          <w:lang w:val="en-US"/>
        </w:rPr>
        <w:t>Mu</w:t>
      </w:r>
      <w:r w:rsidRPr="00697F52">
        <w:rPr>
          <w:lang w:val="en-US"/>
        </w:rPr>
        <w:t xml:space="preserve"> element were used to complete PCR for each mutant allele. The presence of PCR amplicons from F-5 and R-3 indicate orientation of the </w:t>
      </w:r>
      <w:r w:rsidRPr="00697F52">
        <w:rPr>
          <w:i/>
          <w:iCs/>
          <w:lang w:val="en-US"/>
        </w:rPr>
        <w:t>Mu</w:t>
      </w:r>
      <w:r w:rsidRPr="00697F52">
        <w:rPr>
          <w:lang w:val="en-US"/>
        </w:rPr>
        <w:t xml:space="preserve"> element in the forward direction (5’TIR to 3’TIR) and the presence of PCR amplicons from F-3 and R-5</w:t>
      </w:r>
      <w:r w:rsidRPr="00697F52">
        <w:rPr>
          <w:vertAlign w:val="superscript"/>
          <w:lang w:val="en-US"/>
        </w:rPr>
        <w:t xml:space="preserve"> </w:t>
      </w:r>
      <w:r w:rsidRPr="00697F52">
        <w:rPr>
          <w:lang w:val="en-US"/>
        </w:rPr>
        <w:t xml:space="preserve">indicate orientation of the </w:t>
      </w:r>
      <w:r w:rsidRPr="00697F52">
        <w:rPr>
          <w:i/>
          <w:iCs/>
          <w:lang w:val="en-US"/>
        </w:rPr>
        <w:t>Mu</w:t>
      </w:r>
      <w:r w:rsidRPr="00697F52">
        <w:rPr>
          <w:lang w:val="en-US"/>
        </w:rPr>
        <w:t xml:space="preserve"> element in the reverse direction (3’TIR to 5’TIR). </w:t>
      </w:r>
      <w:r w:rsidRPr="00697F52">
        <w:rPr>
          <w:b/>
          <w:bCs/>
          <w:lang w:val="en-US"/>
        </w:rPr>
        <w:t xml:space="preserve">B) </w:t>
      </w:r>
      <w:r w:rsidRPr="00697F52">
        <w:rPr>
          <w:lang w:val="en-US"/>
        </w:rPr>
        <w:t xml:space="preserve">The PCR results of 19 mutant alleles are depicted in a table by amplicon presence (+), absence (-), or not tested (NT). For the alleles with predictions of </w:t>
      </w:r>
      <w:r w:rsidRPr="00697F52">
        <w:rPr>
          <w:i/>
          <w:iCs/>
          <w:lang w:val="en-US"/>
        </w:rPr>
        <w:t>Mu</w:t>
      </w:r>
      <w:r w:rsidRPr="00697F52">
        <w:rPr>
          <w:lang w:val="en-US"/>
        </w:rPr>
        <w:t xml:space="preserve"> element identity and orientation we only tested the predicted </w:t>
      </w:r>
      <w:r w:rsidRPr="00697F52">
        <w:rPr>
          <w:i/>
          <w:iCs/>
          <w:lang w:val="en-US"/>
        </w:rPr>
        <w:t>Mu</w:t>
      </w:r>
      <w:r w:rsidRPr="00697F52">
        <w:rPr>
          <w:lang w:val="en-US"/>
        </w:rPr>
        <w:t xml:space="preserve"> element.  For other alleles we tested a variety of primers and both potential orientations and only show the results for the </w:t>
      </w:r>
      <w:r w:rsidRPr="00697F52">
        <w:rPr>
          <w:i/>
          <w:iCs/>
          <w:lang w:val="en-US"/>
        </w:rPr>
        <w:t>Mu</w:t>
      </w:r>
      <w:r w:rsidRPr="00697F52">
        <w:rPr>
          <w:lang w:val="en-US"/>
        </w:rPr>
        <w:t xml:space="preserve"> element that provided amplification. </w:t>
      </w:r>
      <w:r w:rsidRPr="00697F52">
        <w:rPr>
          <w:i/>
          <w:iCs/>
          <w:lang w:val="en-US"/>
        </w:rPr>
        <w:t>bsd10-m2</w:t>
      </w:r>
      <w:r w:rsidRPr="00697F52">
        <w:rPr>
          <w:lang w:val="en-US"/>
        </w:rPr>
        <w:t xml:space="preserve"> may be either </w:t>
      </w:r>
      <w:r w:rsidRPr="00697F52">
        <w:rPr>
          <w:i/>
          <w:iCs/>
          <w:lang w:val="en-US"/>
        </w:rPr>
        <w:t>Mu1</w:t>
      </w:r>
      <w:r w:rsidRPr="00697F52">
        <w:rPr>
          <w:lang w:val="en-US"/>
        </w:rPr>
        <w:t xml:space="preserve"> or </w:t>
      </w:r>
      <w:r w:rsidRPr="00697F52">
        <w:rPr>
          <w:i/>
          <w:iCs/>
          <w:lang w:val="en-US"/>
        </w:rPr>
        <w:t>Mu1.7</w:t>
      </w:r>
      <w:r w:rsidRPr="00697F52">
        <w:rPr>
          <w:lang w:val="en-US"/>
        </w:rPr>
        <w:t xml:space="preserve">. </w:t>
      </w:r>
      <w:r w:rsidRPr="00697F52">
        <w:rPr>
          <w:b/>
          <w:bCs/>
          <w:lang w:val="en-US"/>
        </w:rPr>
        <w:t xml:space="preserve">C) </w:t>
      </w:r>
      <w:r w:rsidRPr="00697F52">
        <w:rPr>
          <w:lang w:val="en-US"/>
        </w:rPr>
        <w:t xml:space="preserve">Gel image of PCR amplicons for </w:t>
      </w:r>
      <w:r w:rsidRPr="00697F52">
        <w:rPr>
          <w:i/>
          <w:iCs/>
          <w:lang w:val="en-US"/>
        </w:rPr>
        <w:t>c3h42-m1</w:t>
      </w:r>
      <w:r w:rsidRPr="00697F52">
        <w:rPr>
          <w:lang w:val="en-US"/>
        </w:rPr>
        <w:t xml:space="preserve"> biological replicates (-1, -2, -3), F-5 presence (+) and R-5 absence (-), and W22 wild-type and water as controls.</w:t>
      </w:r>
    </w:p>
    <w:p w14:paraId="2897D5C7" w14:textId="77777777" w:rsidR="003D29EE" w:rsidRDefault="003D29EE" w:rsidP="003D29EE">
      <w:pPr>
        <w:widowControl w:val="0"/>
        <w:pBdr>
          <w:top w:val="nil"/>
          <w:left w:val="nil"/>
          <w:bottom w:val="nil"/>
          <w:right w:val="nil"/>
          <w:between w:val="nil"/>
        </w:pBdr>
        <w:spacing w:line="240" w:lineRule="auto"/>
      </w:pPr>
    </w:p>
    <w:p w14:paraId="63F10A5C" w14:textId="77777777" w:rsidR="003D29EE" w:rsidRPr="009C2248" w:rsidRDefault="003D29EE" w:rsidP="003D29EE">
      <w:pPr>
        <w:widowControl w:val="0"/>
        <w:pBdr>
          <w:top w:val="nil"/>
          <w:left w:val="nil"/>
          <w:bottom w:val="nil"/>
          <w:right w:val="nil"/>
          <w:between w:val="nil"/>
        </w:pBdr>
        <w:spacing w:line="240" w:lineRule="auto"/>
        <w:rPr>
          <w:b/>
          <w:bCs/>
          <w:lang w:val="en-US"/>
        </w:rPr>
      </w:pPr>
      <w:r w:rsidRPr="00600F04">
        <w:rPr>
          <w:b/>
          <w:bCs/>
          <w:lang w:val="en-US"/>
        </w:rPr>
        <w:t xml:space="preserve">Figure S4. Analysis of RNA-seq read orientation between wild-type W22 and the mutant allele for two genes. </w:t>
      </w:r>
      <w:r w:rsidRPr="00697F52">
        <w:rPr>
          <w:lang w:val="en-US"/>
        </w:rPr>
        <w:t xml:space="preserve">IGV was used to visualize the orientation of RNA-seq reads mapped to the wild-type gene with the annotated </w:t>
      </w:r>
      <w:r w:rsidRPr="00697F52">
        <w:rPr>
          <w:i/>
          <w:iCs/>
          <w:lang w:val="en-US"/>
        </w:rPr>
        <w:t>Mu</w:t>
      </w:r>
      <w:r w:rsidRPr="00697F52">
        <w:rPr>
          <w:lang w:val="en-US"/>
        </w:rPr>
        <w:t xml:space="preserve"> insertion (red triangle) in one control W22 biological replicate and two mutant allele biological replicates for two genes: </w:t>
      </w:r>
      <w:r w:rsidRPr="00697F52">
        <w:rPr>
          <w:i/>
          <w:iCs/>
          <w:lang w:val="en-US"/>
        </w:rPr>
        <w:t>MYBR32</w:t>
      </w:r>
      <w:r w:rsidRPr="00697F52">
        <w:rPr>
          <w:lang w:val="en-US"/>
        </w:rPr>
        <w:t xml:space="preserve"> (</w:t>
      </w:r>
      <w:r w:rsidRPr="00697F52">
        <w:rPr>
          <w:i/>
          <w:iCs/>
          <w:lang w:val="en-US"/>
        </w:rPr>
        <w:t>Zm00004b002134</w:t>
      </w:r>
      <w:r w:rsidRPr="00697F52">
        <w:rPr>
          <w:lang w:val="en-US"/>
        </w:rPr>
        <w:t xml:space="preserve">) and </w:t>
      </w:r>
      <w:r w:rsidRPr="00697F52">
        <w:rPr>
          <w:i/>
          <w:iCs/>
          <w:lang w:val="en-US"/>
        </w:rPr>
        <w:t>JMJ13</w:t>
      </w:r>
      <w:r w:rsidRPr="00697F52">
        <w:rPr>
          <w:lang w:val="en-US"/>
        </w:rPr>
        <w:t xml:space="preserve"> (</w:t>
      </w:r>
      <w:r w:rsidRPr="00697F52">
        <w:rPr>
          <w:i/>
          <w:iCs/>
          <w:lang w:val="en-US"/>
        </w:rPr>
        <w:t>Zm00004b023587</w:t>
      </w:r>
      <w:r w:rsidRPr="00697F52">
        <w:rPr>
          <w:lang w:val="en-US"/>
        </w:rPr>
        <w:t>).</w:t>
      </w:r>
      <w:r w:rsidRPr="00697F52">
        <w:rPr>
          <w:i/>
          <w:iCs/>
          <w:lang w:val="en-US"/>
        </w:rPr>
        <w:t xml:space="preserve"> </w:t>
      </w:r>
      <w:r w:rsidRPr="00697F52">
        <w:rPr>
          <w:lang w:val="en-US"/>
        </w:rPr>
        <w:t xml:space="preserve">The RNA-seq data for both mutant and wild-type alleles was generated from directional/stranded libraries. Reads were grouped and colored by the read strand of the first read in each pair of paired-end reads (IGV “first-of-pair strand”) with the </w:t>
      </w:r>
      <w:proofErr w:type="spellStart"/>
      <w:r w:rsidRPr="00697F52">
        <w:rPr>
          <w:lang w:val="en-US"/>
        </w:rPr>
        <w:t>read</w:t>
      </w:r>
      <w:proofErr w:type="spellEnd"/>
      <w:r w:rsidRPr="00697F52">
        <w:rPr>
          <w:lang w:val="en-US"/>
        </w:rPr>
        <w:t xml:space="preserve"> color matching the direction of the transcript orientation; purple for the negative or reverse complement DNA strand and pink for the positive (5’ to 3’) DNA strand. Sense refers to the coding or </w:t>
      </w:r>
      <w:proofErr w:type="spellStart"/>
      <w:r w:rsidRPr="00697F52">
        <w:rPr>
          <w:lang w:val="en-US"/>
        </w:rPr>
        <w:t>nontemplate</w:t>
      </w:r>
      <w:proofErr w:type="spellEnd"/>
      <w:r w:rsidRPr="00697F52">
        <w:rPr>
          <w:lang w:val="en-US"/>
        </w:rPr>
        <w:t xml:space="preserve"> strand of DNA and antisense refers to the template strand of DNA. No antisense reads were observed for biological replicate 2 or 3 (not shown) of </w:t>
      </w:r>
      <w:r w:rsidRPr="00697F52">
        <w:rPr>
          <w:i/>
          <w:iCs/>
          <w:lang w:val="en-US"/>
        </w:rPr>
        <w:t>jmj13-m4.</w:t>
      </w:r>
      <w:r w:rsidRPr="00697F52">
        <w:rPr>
          <w:lang w:val="en-US"/>
        </w:rPr>
        <w:t xml:space="preserve"> Read orientation was examined to identify the potential for bi-directional transcripts originating from the </w:t>
      </w:r>
      <w:r w:rsidRPr="00697F52">
        <w:rPr>
          <w:i/>
          <w:iCs/>
          <w:lang w:val="en-US"/>
        </w:rPr>
        <w:t>Mu</w:t>
      </w:r>
      <w:r w:rsidRPr="00697F52">
        <w:rPr>
          <w:lang w:val="en-US"/>
        </w:rPr>
        <w:t xml:space="preserve"> promoter in the mutant alleles.</w:t>
      </w:r>
    </w:p>
    <w:p w14:paraId="312747CF" w14:textId="77777777" w:rsidR="003D29EE" w:rsidRPr="00600F04" w:rsidRDefault="003D29EE" w:rsidP="003D29EE">
      <w:pPr>
        <w:widowControl w:val="0"/>
        <w:pBdr>
          <w:top w:val="nil"/>
          <w:left w:val="nil"/>
          <w:bottom w:val="nil"/>
          <w:right w:val="nil"/>
          <w:between w:val="nil"/>
        </w:pBdr>
        <w:spacing w:line="240" w:lineRule="auto"/>
      </w:pPr>
    </w:p>
    <w:p w14:paraId="4AFAA89D" w14:textId="77777777" w:rsidR="003D29EE" w:rsidRPr="009C2248" w:rsidRDefault="003D29EE" w:rsidP="003D29EE">
      <w:pPr>
        <w:widowControl w:val="0"/>
        <w:pBdr>
          <w:top w:val="nil"/>
          <w:left w:val="nil"/>
          <w:bottom w:val="nil"/>
          <w:right w:val="nil"/>
          <w:between w:val="nil"/>
        </w:pBdr>
        <w:spacing w:line="240" w:lineRule="auto"/>
        <w:rPr>
          <w:lang w:val="en-US"/>
        </w:rPr>
      </w:pPr>
      <w:r w:rsidRPr="00600F04">
        <w:rPr>
          <w:b/>
          <w:bCs/>
          <w:lang w:val="en-US"/>
        </w:rPr>
        <w:t xml:space="preserve">Figure S5. Ratios of mutant to wild-type transcript abundance. </w:t>
      </w:r>
      <w:r w:rsidRPr="00933768">
        <w:rPr>
          <w:lang w:val="en-US"/>
        </w:rPr>
        <w:t>A scatter plot of the log</w:t>
      </w:r>
      <w:r w:rsidRPr="00933768">
        <w:rPr>
          <w:vertAlign w:val="subscript"/>
          <w:lang w:val="en-US"/>
        </w:rPr>
        <w:t>2</w:t>
      </w:r>
      <w:r w:rsidRPr="00933768">
        <w:rPr>
          <w:lang w:val="en-US"/>
        </w:rPr>
        <w:t xml:space="preserve"> normalized ratio of mutant to wild-type transcript abundance (CPM/fragment) is plotted for each mutant allele and the corresponding mutant transcript, gene TSS partial (blue circles) and </w:t>
      </w:r>
      <w:r w:rsidRPr="00933768">
        <w:rPr>
          <w:i/>
          <w:iCs/>
          <w:lang w:val="en-US"/>
        </w:rPr>
        <w:t>Mu</w:t>
      </w:r>
      <w:r w:rsidRPr="00933768">
        <w:rPr>
          <w:lang w:val="en-US"/>
        </w:rPr>
        <w:t xml:space="preserve"> </w:t>
      </w:r>
      <w:r w:rsidRPr="00933768">
        <w:rPr>
          <w:lang w:val="en-US"/>
        </w:rPr>
        <w:lastRenderedPageBreak/>
        <w:t>TSS (red circles). Mutant transcripts with expression levels that vary relative to wild-type transcripts are plotted relative to zero with positive values for higher transcript abundance and negative values for lower transcript abundance.</w:t>
      </w:r>
    </w:p>
    <w:p w14:paraId="0D2375C4" w14:textId="77777777" w:rsidR="003D29EE" w:rsidRPr="009C2248" w:rsidRDefault="003D29EE" w:rsidP="003D29EE">
      <w:pPr>
        <w:widowControl w:val="0"/>
        <w:pBdr>
          <w:top w:val="nil"/>
          <w:left w:val="nil"/>
          <w:bottom w:val="nil"/>
          <w:right w:val="nil"/>
          <w:between w:val="nil"/>
        </w:pBdr>
        <w:spacing w:line="240" w:lineRule="auto"/>
        <w:rPr>
          <w:lang w:val="en-US"/>
        </w:rPr>
      </w:pPr>
    </w:p>
    <w:p w14:paraId="246994CE" w14:textId="77777777" w:rsidR="003D29EE" w:rsidRPr="00600F04" w:rsidRDefault="003D29EE" w:rsidP="003D29EE">
      <w:pPr>
        <w:widowControl w:val="0"/>
        <w:pBdr>
          <w:top w:val="nil"/>
          <w:left w:val="nil"/>
          <w:bottom w:val="nil"/>
          <w:right w:val="nil"/>
          <w:between w:val="nil"/>
        </w:pBdr>
        <w:spacing w:line="240" w:lineRule="auto"/>
        <w:rPr>
          <w:rStyle w:val="apple-converted-space"/>
          <w:color w:val="000000"/>
          <w:shd w:val="clear" w:color="auto" w:fill="FFFFFF"/>
        </w:rPr>
      </w:pPr>
      <w:r w:rsidRPr="00600F04">
        <w:rPr>
          <w:rStyle w:val="Strong"/>
          <w:color w:val="000000"/>
        </w:rPr>
        <w:t>Table S1. 35</w:t>
      </w:r>
      <w:r w:rsidRPr="00600F04">
        <w:rPr>
          <w:rStyle w:val="apple-converted-space"/>
          <w:b/>
          <w:bCs/>
          <w:color w:val="000000"/>
        </w:rPr>
        <w:t> </w:t>
      </w:r>
      <w:r w:rsidRPr="00600F04">
        <w:rPr>
          <w:rStyle w:val="Emphasis"/>
          <w:b/>
          <w:bCs/>
          <w:color w:val="000000"/>
        </w:rPr>
        <w:t>Mutator</w:t>
      </w:r>
      <w:r w:rsidRPr="00600F04">
        <w:rPr>
          <w:rStyle w:val="apple-converted-space"/>
          <w:b/>
          <w:bCs/>
          <w:color w:val="000000"/>
        </w:rPr>
        <w:t> </w:t>
      </w:r>
      <w:r w:rsidRPr="00600F04">
        <w:rPr>
          <w:rStyle w:val="Strong"/>
          <w:color w:val="000000"/>
        </w:rPr>
        <w:t xml:space="preserve">mutant alleles isolated from the </w:t>
      </w:r>
      <w:proofErr w:type="spellStart"/>
      <w:r w:rsidRPr="00600F04">
        <w:rPr>
          <w:rStyle w:val="Strong"/>
          <w:color w:val="000000"/>
        </w:rPr>
        <w:t>UniformMu</w:t>
      </w:r>
      <w:proofErr w:type="spellEnd"/>
      <w:r w:rsidRPr="00600F04">
        <w:rPr>
          <w:rStyle w:val="Strong"/>
          <w:color w:val="000000"/>
        </w:rPr>
        <w:t xml:space="preserve"> population in maize.</w:t>
      </w:r>
      <w:r w:rsidRPr="00600F04">
        <w:rPr>
          <w:rStyle w:val="apple-converted-space"/>
          <w:color w:val="000000"/>
          <w:shd w:val="clear" w:color="auto" w:fill="FFFFFF"/>
        </w:rPr>
        <w:t> </w:t>
      </w:r>
      <w:r w:rsidRPr="00600F04">
        <w:rPr>
          <w:color w:val="000000"/>
          <w:shd w:val="clear" w:color="auto" w:fill="FFFFFF"/>
        </w:rPr>
        <w:t xml:space="preserve">Mutant allele transcriptome data obtained, transcript abundance, and transcriptome assembly predicted transcript structure. </w:t>
      </w:r>
      <w:proofErr w:type="spellStart"/>
      <w:r w:rsidRPr="00600F04">
        <w:rPr>
          <w:color w:val="000000"/>
          <w:shd w:val="clear" w:color="auto" w:fill="FFFFFF"/>
        </w:rPr>
        <w:t>UniformMu</w:t>
      </w:r>
      <w:proofErr w:type="spellEnd"/>
      <w:r w:rsidRPr="00600F04">
        <w:rPr>
          <w:color w:val="000000"/>
          <w:shd w:val="clear" w:color="auto" w:fill="FFFFFF"/>
        </w:rPr>
        <w:t xml:space="preserve"> </w:t>
      </w:r>
      <w:r w:rsidRPr="009C2248">
        <w:rPr>
          <w:i/>
          <w:iCs/>
          <w:color w:val="000000"/>
          <w:shd w:val="clear" w:color="auto" w:fill="FFFFFF"/>
        </w:rPr>
        <w:t>Mu</w:t>
      </w:r>
      <w:r w:rsidRPr="00600F04">
        <w:rPr>
          <w:color w:val="000000"/>
          <w:shd w:val="clear" w:color="auto" w:fill="FFFFFF"/>
        </w:rPr>
        <w:t xml:space="preserve"> ID and Stock, Pos: </w:t>
      </w:r>
      <w:r w:rsidRPr="009C2248">
        <w:rPr>
          <w:i/>
          <w:iCs/>
          <w:color w:val="000000"/>
          <w:shd w:val="clear" w:color="auto" w:fill="FFFFFF"/>
        </w:rPr>
        <w:t>Mu</w:t>
      </w:r>
      <w:r w:rsidRPr="00600F04">
        <w:rPr>
          <w:color w:val="000000"/>
          <w:shd w:val="clear" w:color="auto" w:fill="FFFFFF"/>
        </w:rPr>
        <w:t xml:space="preserve"> insertion position within the gene, genotyping primers used to isolate the homozygous mutant, and Pedi: pedigree of the mutant stock sampled for RNA-seq (BC = backcross, S = self). RNA-seq CPM and FPKM for mutant and wild-type W22, DE data averaged across biological replicates (N), log2fc: log2 fold change of mutant to control, </w:t>
      </w:r>
      <w:proofErr w:type="spellStart"/>
      <w:r w:rsidRPr="00600F04">
        <w:rPr>
          <w:color w:val="000000"/>
          <w:shd w:val="clear" w:color="auto" w:fill="FFFFFF"/>
        </w:rPr>
        <w:t>lfcSE</w:t>
      </w:r>
      <w:proofErr w:type="spellEnd"/>
      <w:r w:rsidRPr="00600F04">
        <w:rPr>
          <w:color w:val="000000"/>
          <w:shd w:val="clear" w:color="auto" w:fill="FFFFFF"/>
        </w:rPr>
        <w:t xml:space="preserve">: log fold change standard error and FDR adjusted p-value. Data for TF genes that are that are DE in the mutant compared to </w:t>
      </w:r>
      <w:r>
        <w:rPr>
          <w:color w:val="000000"/>
          <w:shd w:val="clear" w:color="auto" w:fill="FFFFFF"/>
        </w:rPr>
        <w:t xml:space="preserve">the </w:t>
      </w:r>
      <w:proofErr w:type="gramStart"/>
      <w:r w:rsidRPr="00600F04">
        <w:rPr>
          <w:color w:val="000000"/>
          <w:shd w:val="clear" w:color="auto" w:fill="FFFFFF"/>
        </w:rPr>
        <w:t>wild-type</w:t>
      </w:r>
      <w:proofErr w:type="gramEnd"/>
      <w:r w:rsidRPr="00600F04">
        <w:rPr>
          <w:color w:val="000000"/>
          <w:shd w:val="clear" w:color="auto" w:fill="FFFFFF"/>
        </w:rPr>
        <w:t xml:space="preserve"> are highlighted.</w:t>
      </w:r>
      <w:r w:rsidRPr="00600F04">
        <w:rPr>
          <w:noProof/>
        </w:rPr>
        <w:t xml:space="preserve"> Transcript assembly transcript structure references categories described in Figure 3A.</w:t>
      </w:r>
    </w:p>
    <w:p w14:paraId="017E69F2" w14:textId="77777777" w:rsidR="003D29EE" w:rsidRPr="00600F04" w:rsidRDefault="003D29EE" w:rsidP="003D29EE">
      <w:pPr>
        <w:widowControl w:val="0"/>
        <w:pBdr>
          <w:top w:val="nil"/>
          <w:left w:val="nil"/>
          <w:bottom w:val="nil"/>
          <w:right w:val="nil"/>
          <w:between w:val="nil"/>
        </w:pBdr>
        <w:spacing w:line="240" w:lineRule="auto"/>
        <w:rPr>
          <w:rStyle w:val="apple-converted-space"/>
          <w:color w:val="000000"/>
          <w:shd w:val="clear" w:color="auto" w:fill="FFFFFF"/>
        </w:rPr>
      </w:pPr>
    </w:p>
    <w:p w14:paraId="69B32AD9" w14:textId="77777777" w:rsidR="003D29EE" w:rsidRDefault="003D29EE" w:rsidP="003D29EE">
      <w:pPr>
        <w:widowControl w:val="0"/>
        <w:pBdr>
          <w:top w:val="nil"/>
          <w:left w:val="nil"/>
          <w:bottom w:val="nil"/>
          <w:right w:val="nil"/>
          <w:between w:val="nil"/>
        </w:pBdr>
        <w:spacing w:line="240" w:lineRule="auto"/>
        <w:rPr>
          <w:color w:val="000000"/>
          <w:shd w:val="clear" w:color="auto" w:fill="FFFFFF"/>
        </w:rPr>
      </w:pPr>
      <w:r w:rsidRPr="009C2248">
        <w:rPr>
          <w:rStyle w:val="Strong"/>
          <w:color w:val="000000"/>
        </w:rPr>
        <w:t>Table S2. Gene expression values for 24 transcription factor genes in different tissues.</w:t>
      </w:r>
      <w:r w:rsidRPr="009C2248">
        <w:rPr>
          <w:rStyle w:val="apple-converted-space"/>
          <w:color w:val="000000"/>
          <w:shd w:val="clear" w:color="auto" w:fill="FFFFFF"/>
        </w:rPr>
        <w:t> </w:t>
      </w:r>
      <w:r w:rsidRPr="009C2248">
        <w:rPr>
          <w:color w:val="000000"/>
          <w:shd w:val="clear" w:color="auto" w:fill="FFFFFF"/>
        </w:rPr>
        <w:t>The expression value (CPM) for each of the 22 TFs was assessed based on prior sampling of tissues or developmental stages in B73 (Zhou et al. 2019). Values highlighted indicate the predicted expression level of TF genes in tissues sampled for RNA-seq in this study.</w:t>
      </w:r>
    </w:p>
    <w:p w14:paraId="197FC10B" w14:textId="77777777" w:rsidR="003D29EE" w:rsidRDefault="003D29EE" w:rsidP="003D29EE">
      <w:pPr>
        <w:widowControl w:val="0"/>
        <w:pBdr>
          <w:top w:val="nil"/>
          <w:left w:val="nil"/>
          <w:bottom w:val="nil"/>
          <w:right w:val="nil"/>
          <w:between w:val="nil"/>
        </w:pBdr>
        <w:spacing w:line="240" w:lineRule="auto"/>
        <w:rPr>
          <w:color w:val="000000"/>
          <w:shd w:val="clear" w:color="auto" w:fill="FFFFFF"/>
        </w:rPr>
      </w:pPr>
    </w:p>
    <w:p w14:paraId="551D8BC0" w14:textId="77777777" w:rsidR="003D29EE" w:rsidRPr="009F3CFC" w:rsidRDefault="003D29EE" w:rsidP="003D29EE">
      <w:pPr>
        <w:widowControl w:val="0"/>
        <w:pBdr>
          <w:top w:val="nil"/>
          <w:left w:val="nil"/>
          <w:bottom w:val="nil"/>
          <w:right w:val="nil"/>
          <w:between w:val="nil"/>
        </w:pBdr>
        <w:spacing w:line="240" w:lineRule="auto"/>
        <w:rPr>
          <w:rStyle w:val="apple-converted-space"/>
          <w:b/>
          <w:bCs/>
          <w:color w:val="000000"/>
        </w:rPr>
      </w:pPr>
      <w:r>
        <w:rPr>
          <w:rStyle w:val="Strong"/>
          <w:color w:val="000000"/>
        </w:rPr>
        <w:t xml:space="preserve">Table S3. Read counts for each RNA-seq sample.  </w:t>
      </w:r>
    </w:p>
    <w:p w14:paraId="69872CE6" w14:textId="77777777" w:rsidR="003D29EE" w:rsidRPr="009C2248" w:rsidRDefault="003D29EE" w:rsidP="003D29EE">
      <w:pPr>
        <w:widowControl w:val="0"/>
        <w:pBdr>
          <w:top w:val="nil"/>
          <w:left w:val="nil"/>
          <w:bottom w:val="nil"/>
          <w:right w:val="nil"/>
          <w:between w:val="nil"/>
        </w:pBdr>
        <w:spacing w:line="240" w:lineRule="auto"/>
        <w:rPr>
          <w:rStyle w:val="apple-converted-space"/>
          <w:color w:val="000000"/>
          <w:shd w:val="clear" w:color="auto" w:fill="FFFFFF"/>
        </w:rPr>
      </w:pPr>
    </w:p>
    <w:p w14:paraId="01D25FD5" w14:textId="77777777" w:rsidR="003D29EE" w:rsidRDefault="003D29EE" w:rsidP="003D29EE">
      <w:pPr>
        <w:widowControl w:val="0"/>
        <w:pBdr>
          <w:top w:val="nil"/>
          <w:left w:val="nil"/>
          <w:bottom w:val="nil"/>
          <w:right w:val="nil"/>
          <w:between w:val="nil"/>
        </w:pBdr>
        <w:spacing w:line="240" w:lineRule="auto"/>
        <w:rPr>
          <w:rStyle w:val="apple-converted-space"/>
          <w:color w:val="000000"/>
          <w:shd w:val="clear" w:color="auto" w:fill="FFFFFF"/>
        </w:rPr>
      </w:pPr>
      <w:r w:rsidRPr="008B182C">
        <w:rPr>
          <w:rStyle w:val="Strong"/>
          <w:color w:val="000000"/>
        </w:rPr>
        <w:t>Table S</w:t>
      </w:r>
      <w:r>
        <w:rPr>
          <w:rStyle w:val="Strong"/>
          <w:color w:val="000000"/>
        </w:rPr>
        <w:t>4</w:t>
      </w:r>
      <w:r w:rsidRPr="008B182C">
        <w:rPr>
          <w:rStyle w:val="Strong"/>
          <w:color w:val="000000"/>
        </w:rPr>
        <w:t>. Mutant allele</w:t>
      </w:r>
      <w:r w:rsidRPr="008B182C">
        <w:rPr>
          <w:rStyle w:val="apple-converted-space"/>
          <w:b/>
          <w:bCs/>
          <w:color w:val="000000"/>
        </w:rPr>
        <w:t> </w:t>
      </w:r>
      <w:r w:rsidRPr="008B182C">
        <w:rPr>
          <w:rStyle w:val="Emphasis"/>
          <w:b/>
          <w:bCs/>
          <w:color w:val="000000"/>
        </w:rPr>
        <w:t>Mu</w:t>
      </w:r>
      <w:r w:rsidRPr="008B182C">
        <w:rPr>
          <w:rStyle w:val="apple-converted-space"/>
          <w:b/>
          <w:bCs/>
          <w:color w:val="000000"/>
        </w:rPr>
        <w:t> </w:t>
      </w:r>
      <w:r w:rsidRPr="008B182C">
        <w:rPr>
          <w:rStyle w:val="Strong"/>
          <w:color w:val="000000"/>
        </w:rPr>
        <w:t>element identity and orientation by gDNA PCR.</w:t>
      </w:r>
      <w:r w:rsidRPr="008B182C">
        <w:rPr>
          <w:rStyle w:val="apple-converted-space"/>
          <w:color w:val="000000"/>
          <w:shd w:val="clear" w:color="auto" w:fill="FFFFFF"/>
        </w:rPr>
        <w:t> </w:t>
      </w:r>
      <w:r w:rsidRPr="008B182C">
        <w:rPr>
          <w:color w:val="000000"/>
          <w:shd w:val="clear" w:color="auto" w:fill="FFFFFF"/>
        </w:rPr>
        <w:t>Table follows the format of Figure S2 with primer sets not tested—gray, and tested primer sets resulting in amplification—blue, no amplification—pink.</w:t>
      </w:r>
    </w:p>
    <w:p w14:paraId="7EB30D8C" w14:textId="77777777" w:rsidR="003D29EE" w:rsidRDefault="003D29EE" w:rsidP="003D29EE">
      <w:pPr>
        <w:widowControl w:val="0"/>
        <w:pBdr>
          <w:top w:val="nil"/>
          <w:left w:val="nil"/>
          <w:bottom w:val="nil"/>
          <w:right w:val="nil"/>
          <w:between w:val="nil"/>
        </w:pBdr>
        <w:spacing w:line="240" w:lineRule="auto"/>
        <w:rPr>
          <w:rStyle w:val="apple-converted-space"/>
          <w:color w:val="000000"/>
          <w:shd w:val="clear" w:color="auto" w:fill="FFFFFF"/>
        </w:rPr>
      </w:pPr>
    </w:p>
    <w:p w14:paraId="361BA348" w14:textId="77777777" w:rsidR="003D29EE" w:rsidRDefault="003D29EE" w:rsidP="003D29EE">
      <w:r w:rsidRPr="00BF5C61">
        <w:rPr>
          <w:rStyle w:val="Strong"/>
          <w:color w:val="000000"/>
        </w:rPr>
        <w:t>Table S</w:t>
      </w:r>
      <w:r>
        <w:rPr>
          <w:rStyle w:val="Strong"/>
          <w:color w:val="000000"/>
        </w:rPr>
        <w:t>5</w:t>
      </w:r>
      <w:r w:rsidRPr="00BF5C61">
        <w:rPr>
          <w:rStyle w:val="Strong"/>
          <w:color w:val="000000"/>
        </w:rPr>
        <w:t>. Mutant allele transcript boundaries and potential for</w:t>
      </w:r>
      <w:r w:rsidRPr="00BF5C61">
        <w:rPr>
          <w:rStyle w:val="apple-converted-space"/>
          <w:b/>
          <w:bCs/>
          <w:color w:val="000000"/>
        </w:rPr>
        <w:t> </w:t>
      </w:r>
      <w:r w:rsidRPr="00BF5C61">
        <w:rPr>
          <w:rStyle w:val="Emphasis"/>
          <w:b/>
          <w:bCs/>
          <w:color w:val="000000"/>
        </w:rPr>
        <w:t>Mu</w:t>
      </w:r>
      <w:r w:rsidRPr="00BF5C61">
        <w:rPr>
          <w:rStyle w:val="apple-converted-space"/>
          <w:b/>
          <w:bCs/>
          <w:color w:val="000000"/>
        </w:rPr>
        <w:t> </w:t>
      </w:r>
      <w:r w:rsidRPr="00BF5C61">
        <w:rPr>
          <w:rStyle w:val="Strong"/>
          <w:color w:val="000000"/>
        </w:rPr>
        <w:t>read-through tested by RT-PCR.</w:t>
      </w:r>
      <w:r w:rsidRPr="00BF5C61">
        <w:rPr>
          <w:rStyle w:val="apple-converted-space"/>
          <w:color w:val="000000"/>
          <w:shd w:val="clear" w:color="auto" w:fill="FFFFFF"/>
        </w:rPr>
        <w:t> </w:t>
      </w:r>
      <w:r w:rsidRPr="00BF5C61">
        <w:rPr>
          <w:color w:val="000000"/>
          <w:shd w:val="clear" w:color="auto" w:fill="FFFFFF"/>
        </w:rPr>
        <w:t xml:space="preserve">Transcript boundaries of gene </w:t>
      </w:r>
      <w:r>
        <w:rPr>
          <w:color w:val="000000"/>
          <w:shd w:val="clear" w:color="auto" w:fill="FFFFFF"/>
        </w:rPr>
        <w:t>TSS</w:t>
      </w:r>
      <w:r w:rsidRPr="00BF5C61">
        <w:rPr>
          <w:color w:val="000000"/>
          <w:shd w:val="clear" w:color="auto" w:fill="FFFFFF"/>
        </w:rPr>
        <w:t>-</w:t>
      </w:r>
      <w:r w:rsidRPr="00BF5C61">
        <w:rPr>
          <w:rStyle w:val="Emphasis"/>
          <w:color w:val="000000"/>
        </w:rPr>
        <w:t>Mu</w:t>
      </w:r>
      <w:r w:rsidRPr="00BF5C61">
        <w:rPr>
          <w:rStyle w:val="apple-converted-space"/>
          <w:color w:val="000000"/>
          <w:shd w:val="clear" w:color="auto" w:fill="FFFFFF"/>
        </w:rPr>
        <w:t> </w:t>
      </w:r>
      <w:r w:rsidRPr="00BF5C61">
        <w:rPr>
          <w:color w:val="000000"/>
          <w:shd w:val="clear" w:color="auto" w:fill="FFFFFF"/>
        </w:rPr>
        <w:t>and</w:t>
      </w:r>
      <w:r w:rsidRPr="00BF5C61">
        <w:rPr>
          <w:rStyle w:val="apple-converted-space"/>
          <w:color w:val="000000"/>
          <w:shd w:val="clear" w:color="auto" w:fill="FFFFFF"/>
        </w:rPr>
        <w:t> </w:t>
      </w:r>
      <w:r w:rsidRPr="00BF5C61">
        <w:rPr>
          <w:rStyle w:val="Emphasis"/>
          <w:color w:val="000000"/>
        </w:rPr>
        <w:t>Mu</w:t>
      </w:r>
      <w:r w:rsidRPr="00BF5C61">
        <w:rPr>
          <w:rStyle w:val="apple-converted-space"/>
          <w:color w:val="000000"/>
          <w:shd w:val="clear" w:color="auto" w:fill="FFFFFF"/>
        </w:rPr>
        <w:t> </w:t>
      </w:r>
      <w:r>
        <w:rPr>
          <w:color w:val="000000"/>
          <w:shd w:val="clear" w:color="auto" w:fill="FFFFFF"/>
        </w:rPr>
        <w:t>TSS</w:t>
      </w:r>
      <w:r w:rsidRPr="00BF5C61">
        <w:rPr>
          <w:color w:val="000000"/>
          <w:shd w:val="clear" w:color="auto" w:fill="FFFFFF"/>
        </w:rPr>
        <w:t xml:space="preserve"> transcripts: Table follows format of Figure 5B with </w:t>
      </w:r>
      <w:r w:rsidRPr="00BF5C61">
        <w:rPr>
          <w:rStyle w:val="Emphasis"/>
          <w:color w:val="000000"/>
        </w:rPr>
        <w:t>Mu</w:t>
      </w:r>
      <w:r w:rsidRPr="00BF5C61">
        <w:rPr>
          <w:color w:val="000000"/>
          <w:shd w:val="clear" w:color="auto" w:fill="FFFFFF"/>
        </w:rPr>
        <w:t>-specific primer</w:t>
      </w:r>
      <w:r>
        <w:rPr>
          <w:color w:val="000000"/>
          <w:shd w:val="clear" w:color="auto" w:fill="FFFFFF"/>
        </w:rPr>
        <w:t xml:space="preserve">s </w:t>
      </w:r>
      <w:r w:rsidRPr="00BF5C61">
        <w:rPr>
          <w:color w:val="000000"/>
          <w:shd w:val="clear" w:color="auto" w:fill="FFFFFF"/>
        </w:rPr>
        <w:t>listed above the</w:t>
      </w:r>
      <w:r w:rsidRPr="00BF5C61">
        <w:rPr>
          <w:rStyle w:val="apple-converted-space"/>
          <w:color w:val="000000"/>
          <w:shd w:val="clear" w:color="auto" w:fill="FFFFFF"/>
        </w:rPr>
        <w:t> </w:t>
      </w:r>
      <w:r w:rsidRPr="00BF5C61">
        <w:rPr>
          <w:rStyle w:val="Emphasis"/>
          <w:color w:val="000000"/>
        </w:rPr>
        <w:t>Mu</w:t>
      </w:r>
      <w:r w:rsidRPr="00BF5C61">
        <w:rPr>
          <w:rStyle w:val="apple-converted-space"/>
          <w:color w:val="000000"/>
          <w:shd w:val="clear" w:color="auto" w:fill="FFFFFF"/>
        </w:rPr>
        <w:t> </w:t>
      </w:r>
      <w:r w:rsidRPr="00BF5C61">
        <w:rPr>
          <w:color w:val="000000"/>
          <w:shd w:val="clear" w:color="auto" w:fill="FFFFFF"/>
        </w:rPr>
        <w:t>sequence amplified</w:t>
      </w:r>
      <w:r>
        <w:rPr>
          <w:color w:val="000000"/>
          <w:shd w:val="clear" w:color="auto" w:fill="FFFFFF"/>
        </w:rPr>
        <w:t xml:space="preserve"> (bp)</w:t>
      </w:r>
      <w:r w:rsidRPr="00BF5C61">
        <w:rPr>
          <w:color w:val="000000"/>
          <w:shd w:val="clear" w:color="auto" w:fill="FFFFFF"/>
        </w:rPr>
        <w:t xml:space="preserve"> and the gene-specific primer used for each allele in the corresponding row. </w:t>
      </w:r>
      <w:r>
        <w:rPr>
          <w:color w:val="000000"/>
          <w:shd w:val="clear" w:color="auto" w:fill="FFFFFF"/>
        </w:rPr>
        <w:t xml:space="preserve">Tan; RT-PCR amplification, Pink; absence of RT-PCR amplification and the region where the transcript terminates, Black; absence of RT-PCR amplification. </w:t>
      </w:r>
      <w:r w:rsidRPr="00BF5C61">
        <w:rPr>
          <w:color w:val="000000"/>
          <w:shd w:val="clear" w:color="auto" w:fill="FFFFFF"/>
        </w:rPr>
        <w:t>Some</w:t>
      </w:r>
      <w:r w:rsidRPr="00BF5C61">
        <w:rPr>
          <w:rStyle w:val="apple-converted-space"/>
          <w:color w:val="000000"/>
          <w:shd w:val="clear" w:color="auto" w:fill="FFFFFF"/>
        </w:rPr>
        <w:t> </w:t>
      </w:r>
      <w:r w:rsidRPr="00BF5C61">
        <w:rPr>
          <w:rStyle w:val="Emphasis"/>
          <w:color w:val="000000"/>
        </w:rPr>
        <w:t>Mu</w:t>
      </w:r>
      <w:r w:rsidRPr="00BF5C61">
        <w:rPr>
          <w:color w:val="000000"/>
          <w:shd w:val="clear" w:color="auto" w:fill="FFFFFF"/>
        </w:rPr>
        <w:t>-specific primers</w:t>
      </w:r>
      <w:r>
        <w:rPr>
          <w:color w:val="000000"/>
          <w:shd w:val="clear" w:color="auto" w:fill="FFFFFF"/>
        </w:rPr>
        <w:t xml:space="preserve"> used</w:t>
      </w:r>
      <w:r w:rsidRPr="00BF5C61">
        <w:rPr>
          <w:color w:val="000000"/>
          <w:shd w:val="clear" w:color="auto" w:fill="FFFFFF"/>
        </w:rPr>
        <w:t xml:space="preserve"> have specificity to both</w:t>
      </w:r>
      <w:r>
        <w:rPr>
          <w:color w:val="000000"/>
          <w:shd w:val="clear" w:color="auto" w:fill="FFFFFF"/>
        </w:rPr>
        <w:t xml:space="preserve"> 5’ and 3’</w:t>
      </w:r>
      <w:r w:rsidRPr="00BF5C61">
        <w:rPr>
          <w:rStyle w:val="apple-converted-space"/>
          <w:color w:val="000000"/>
          <w:shd w:val="clear" w:color="auto" w:fill="FFFFFF"/>
        </w:rPr>
        <w:t> </w:t>
      </w:r>
      <w:r w:rsidRPr="00BF5C61">
        <w:rPr>
          <w:rStyle w:val="Emphasis"/>
          <w:color w:val="000000"/>
        </w:rPr>
        <w:t>Mu</w:t>
      </w:r>
      <w:r w:rsidRPr="00BF5C61">
        <w:rPr>
          <w:rStyle w:val="apple-converted-space"/>
          <w:color w:val="000000"/>
          <w:shd w:val="clear" w:color="auto" w:fill="FFFFFF"/>
        </w:rPr>
        <w:t> </w:t>
      </w:r>
      <w:r w:rsidRPr="00BF5C61">
        <w:rPr>
          <w:color w:val="000000"/>
          <w:shd w:val="clear" w:color="auto" w:fill="FFFFFF"/>
        </w:rPr>
        <w:t>TIRs</w:t>
      </w:r>
      <w:r>
        <w:rPr>
          <w:color w:val="000000"/>
          <w:shd w:val="clear" w:color="auto" w:fill="FFFFFF"/>
        </w:rPr>
        <w:t xml:space="preserve">. </w:t>
      </w:r>
      <w:r w:rsidRPr="00BF5C61">
        <w:rPr>
          <w:color w:val="000000"/>
          <w:shd w:val="clear" w:color="auto" w:fill="FFFFFF"/>
        </w:rPr>
        <w:t xml:space="preserve">The </w:t>
      </w:r>
      <w:r>
        <w:rPr>
          <w:color w:val="000000"/>
          <w:shd w:val="clear" w:color="auto" w:fill="FFFFFF"/>
        </w:rPr>
        <w:t>three</w:t>
      </w:r>
      <w:r w:rsidRPr="00BF5C61">
        <w:rPr>
          <w:color w:val="000000"/>
          <w:shd w:val="clear" w:color="auto" w:fill="FFFFFF"/>
        </w:rPr>
        <w:t xml:space="preserve"> alleles tested with gene-specific primers flanking</w:t>
      </w:r>
      <w:r w:rsidRPr="00BF5C61">
        <w:rPr>
          <w:rStyle w:val="apple-converted-space"/>
          <w:color w:val="000000"/>
          <w:shd w:val="clear" w:color="auto" w:fill="FFFFFF"/>
        </w:rPr>
        <w:t> </w:t>
      </w:r>
      <w:r w:rsidRPr="00BF5C61">
        <w:rPr>
          <w:rStyle w:val="Emphasis"/>
          <w:color w:val="000000"/>
        </w:rPr>
        <w:t>Mu</w:t>
      </w:r>
      <w:r w:rsidRPr="00BF5C61">
        <w:rPr>
          <w:rStyle w:val="apple-converted-space"/>
          <w:color w:val="000000"/>
          <w:shd w:val="clear" w:color="auto" w:fill="FFFFFF"/>
        </w:rPr>
        <w:t> </w:t>
      </w:r>
      <w:r w:rsidRPr="00BF5C61">
        <w:rPr>
          <w:color w:val="000000"/>
          <w:shd w:val="clear" w:color="auto" w:fill="FFFFFF"/>
        </w:rPr>
        <w:t>are included</w:t>
      </w:r>
      <w:r>
        <w:rPr>
          <w:color w:val="000000"/>
          <w:shd w:val="clear" w:color="auto" w:fill="FFFFFF"/>
        </w:rPr>
        <w:t xml:space="preserve"> (Figure 2C)</w:t>
      </w:r>
      <w:r w:rsidRPr="00BF5C61">
        <w:rPr>
          <w:color w:val="000000"/>
          <w:shd w:val="clear" w:color="auto" w:fill="FFFFFF"/>
        </w:rPr>
        <w:t>.</w:t>
      </w:r>
    </w:p>
    <w:p w14:paraId="5D53CF74" w14:textId="77777777" w:rsidR="003D29EE" w:rsidRDefault="003D29EE" w:rsidP="003D29EE">
      <w:pPr>
        <w:widowControl w:val="0"/>
        <w:pBdr>
          <w:top w:val="nil"/>
          <w:left w:val="nil"/>
          <w:bottom w:val="nil"/>
          <w:right w:val="nil"/>
          <w:between w:val="nil"/>
        </w:pBdr>
        <w:spacing w:line="240" w:lineRule="auto"/>
        <w:rPr>
          <w:rStyle w:val="apple-converted-space"/>
          <w:color w:val="000000"/>
          <w:shd w:val="clear" w:color="auto" w:fill="FFFFFF"/>
        </w:rPr>
      </w:pPr>
    </w:p>
    <w:p w14:paraId="734A8E39" w14:textId="77777777" w:rsidR="003D29EE" w:rsidRDefault="003D29EE" w:rsidP="003D29EE">
      <w:pPr>
        <w:widowControl w:val="0"/>
        <w:pBdr>
          <w:top w:val="nil"/>
          <w:left w:val="nil"/>
          <w:bottom w:val="nil"/>
          <w:right w:val="nil"/>
          <w:between w:val="nil"/>
        </w:pBdr>
        <w:spacing w:line="240" w:lineRule="auto"/>
        <w:rPr>
          <w:rStyle w:val="apple-converted-space"/>
          <w:color w:val="000000"/>
          <w:shd w:val="clear" w:color="auto" w:fill="FFFFFF"/>
        </w:rPr>
      </w:pPr>
      <w:r w:rsidRPr="009F1268">
        <w:rPr>
          <w:rStyle w:val="Strong"/>
          <w:color w:val="000000"/>
        </w:rPr>
        <w:t>Table S</w:t>
      </w:r>
      <w:r>
        <w:rPr>
          <w:rStyle w:val="Strong"/>
          <w:color w:val="000000"/>
        </w:rPr>
        <w:t>6</w:t>
      </w:r>
      <w:r w:rsidRPr="009F1268">
        <w:rPr>
          <w:rStyle w:val="Strong"/>
          <w:color w:val="000000"/>
        </w:rPr>
        <w:t>. Transcript abundance for shared exon sequence between mutant and wild</w:t>
      </w:r>
      <w:r>
        <w:rPr>
          <w:rStyle w:val="Strong"/>
          <w:color w:val="000000"/>
        </w:rPr>
        <w:t>-</w:t>
      </w:r>
      <w:r w:rsidRPr="009F1268">
        <w:rPr>
          <w:rStyle w:val="Strong"/>
          <w:color w:val="000000"/>
        </w:rPr>
        <w:t>type transcripts.</w:t>
      </w:r>
      <w:r w:rsidRPr="009F1268">
        <w:rPr>
          <w:rStyle w:val="apple-converted-space"/>
          <w:color w:val="000000"/>
          <w:shd w:val="clear" w:color="auto" w:fill="FFFFFF"/>
        </w:rPr>
        <w:t> </w:t>
      </w:r>
      <w:r>
        <w:rPr>
          <w:color w:val="000000"/>
          <w:shd w:val="clear" w:color="auto" w:fill="FFFFFF"/>
        </w:rPr>
        <w:t xml:space="preserve">Counts per million (CPM) per fragment calculated for each mutant allele </w:t>
      </w:r>
      <w:r w:rsidRPr="009F1268">
        <w:rPr>
          <w:color w:val="000000"/>
          <w:shd w:val="clear" w:color="auto" w:fill="FFFFFF"/>
        </w:rPr>
        <w:t>transcript</w:t>
      </w:r>
      <w:r>
        <w:rPr>
          <w:color w:val="000000"/>
          <w:shd w:val="clear" w:color="auto" w:fill="FFFFFF"/>
        </w:rPr>
        <w:t xml:space="preserve">, </w:t>
      </w:r>
      <w:r w:rsidRPr="009F1268">
        <w:rPr>
          <w:color w:val="000000"/>
          <w:shd w:val="clear" w:color="auto" w:fill="FFFFFF"/>
        </w:rPr>
        <w:t xml:space="preserve">gene </w:t>
      </w:r>
      <w:r>
        <w:rPr>
          <w:color w:val="000000"/>
          <w:shd w:val="clear" w:color="auto" w:fill="FFFFFF"/>
        </w:rPr>
        <w:t>TSS</w:t>
      </w:r>
      <w:r w:rsidRPr="009F1268">
        <w:rPr>
          <w:color w:val="000000"/>
          <w:shd w:val="clear" w:color="auto" w:fill="FFFFFF"/>
        </w:rPr>
        <w:t xml:space="preserve"> partial</w:t>
      </w:r>
      <w:r>
        <w:rPr>
          <w:color w:val="000000"/>
          <w:shd w:val="clear" w:color="auto" w:fill="FFFFFF"/>
        </w:rPr>
        <w:t xml:space="preserve"> or </w:t>
      </w:r>
      <w:r w:rsidRPr="009F1268">
        <w:rPr>
          <w:rStyle w:val="Emphasis"/>
          <w:color w:val="000000"/>
        </w:rPr>
        <w:t>Mu</w:t>
      </w:r>
      <w:r w:rsidRPr="009F1268">
        <w:rPr>
          <w:rStyle w:val="apple-converted-space"/>
          <w:color w:val="000000"/>
          <w:shd w:val="clear" w:color="auto" w:fill="FFFFFF"/>
        </w:rPr>
        <w:t> </w:t>
      </w:r>
      <w:r>
        <w:rPr>
          <w:color w:val="000000"/>
          <w:shd w:val="clear" w:color="auto" w:fill="FFFFFF"/>
        </w:rPr>
        <w:t xml:space="preserve">TSS, </w:t>
      </w:r>
      <w:r w:rsidRPr="009F1268">
        <w:rPr>
          <w:color w:val="000000"/>
          <w:shd w:val="clear" w:color="auto" w:fill="FFFFFF"/>
        </w:rPr>
        <w:t xml:space="preserve">and the corresponding wild type </w:t>
      </w:r>
      <w:r>
        <w:rPr>
          <w:color w:val="000000"/>
          <w:shd w:val="clear" w:color="auto" w:fill="FFFFFF"/>
        </w:rPr>
        <w:t xml:space="preserve">W22 </w:t>
      </w:r>
      <w:r w:rsidRPr="009F1268">
        <w:rPr>
          <w:color w:val="000000"/>
          <w:shd w:val="clear" w:color="auto" w:fill="FFFFFF"/>
        </w:rPr>
        <w:t>transcript</w:t>
      </w:r>
      <w:r>
        <w:rPr>
          <w:color w:val="000000"/>
          <w:shd w:val="clear" w:color="auto" w:fill="FFFFFF"/>
        </w:rPr>
        <w:t xml:space="preserve">(s) is shown—see Methods for calculation and normalization. The distance in bp of the </w:t>
      </w:r>
      <w:r w:rsidRPr="00CA4E21">
        <w:rPr>
          <w:i/>
          <w:iCs/>
          <w:color w:val="000000"/>
          <w:shd w:val="clear" w:color="auto" w:fill="FFFFFF"/>
        </w:rPr>
        <w:t>Mu</w:t>
      </w:r>
      <w:r>
        <w:rPr>
          <w:color w:val="000000"/>
          <w:shd w:val="clear" w:color="auto" w:fill="FFFFFF"/>
        </w:rPr>
        <w:t xml:space="preserve"> insertion from the annotated W22 TSS is listed: </w:t>
      </w:r>
      <w:proofErr w:type="spellStart"/>
      <w:r>
        <w:rPr>
          <w:color w:val="000000"/>
          <w:shd w:val="clear" w:color="auto" w:fill="FFFFFF"/>
        </w:rPr>
        <w:t>bp_TSS</w:t>
      </w:r>
      <w:proofErr w:type="spellEnd"/>
      <w:r>
        <w:rPr>
          <w:color w:val="000000"/>
          <w:shd w:val="clear" w:color="auto" w:fill="FFFFFF"/>
        </w:rPr>
        <w:t>. Gene TSS refers to gene TSS partial or gene TSS-</w:t>
      </w:r>
      <w:r w:rsidRPr="00D360B0">
        <w:rPr>
          <w:i/>
          <w:iCs/>
          <w:color w:val="000000"/>
          <w:shd w:val="clear" w:color="auto" w:fill="FFFFFF"/>
        </w:rPr>
        <w:t>Mu</w:t>
      </w:r>
      <w:r>
        <w:rPr>
          <w:color w:val="000000"/>
          <w:shd w:val="clear" w:color="auto" w:fill="FFFFFF"/>
        </w:rPr>
        <w:t xml:space="preserve"> transcripts.</w:t>
      </w:r>
    </w:p>
    <w:p w14:paraId="0E3F0EEE" w14:textId="77777777" w:rsidR="003D29EE" w:rsidRPr="008330E6" w:rsidRDefault="003D29EE" w:rsidP="003D29EE">
      <w:pPr>
        <w:widowControl w:val="0"/>
        <w:pBdr>
          <w:top w:val="nil"/>
          <w:left w:val="nil"/>
          <w:bottom w:val="nil"/>
          <w:right w:val="nil"/>
          <w:between w:val="nil"/>
        </w:pBdr>
        <w:spacing w:line="240" w:lineRule="auto"/>
        <w:rPr>
          <w:rStyle w:val="apple-converted-space"/>
          <w:b/>
          <w:color w:val="000000"/>
          <w:shd w:val="clear" w:color="auto" w:fill="FFFFFF"/>
        </w:rPr>
      </w:pPr>
    </w:p>
    <w:p w14:paraId="242C7B6E" w14:textId="77777777" w:rsidR="003D29EE" w:rsidRPr="009C2248" w:rsidRDefault="003D29EE" w:rsidP="003D29EE">
      <w:r w:rsidRPr="008330E6">
        <w:rPr>
          <w:b/>
          <w:bCs/>
        </w:rPr>
        <w:t>Table S</w:t>
      </w:r>
      <w:r>
        <w:rPr>
          <w:b/>
          <w:bCs/>
        </w:rPr>
        <w:t>7</w:t>
      </w:r>
      <w:r w:rsidRPr="008330E6">
        <w:rPr>
          <w:b/>
          <w:bCs/>
        </w:rPr>
        <w:t>.</w:t>
      </w:r>
      <w:r w:rsidRPr="008330E6">
        <w:rPr>
          <w:b/>
        </w:rPr>
        <w:t xml:space="preserve"> Tissue-specific expression patterns for mutant and wild</w:t>
      </w:r>
      <w:r>
        <w:rPr>
          <w:b/>
        </w:rPr>
        <w:t>-</w:t>
      </w:r>
      <w:r w:rsidRPr="008330E6">
        <w:rPr>
          <w:b/>
        </w:rPr>
        <w:t>type W22 transcripts tested by RT-qPCR.</w:t>
      </w:r>
      <w:r>
        <w:rPr>
          <w:b/>
        </w:rPr>
        <w:t xml:space="preserve"> </w:t>
      </w:r>
      <w:r>
        <w:t>The average d</w:t>
      </w:r>
      <w:r w:rsidRPr="00D22BF9">
        <w:t>elta Ct</w:t>
      </w:r>
      <w:r>
        <w:t xml:space="preserve"> +/- standard deviation for biological replicates of each mutant allele and W22 transcript in the 6 tissues tested: coleoptile tip, root, shoot, flag leaf, ear spikelet and tassel stem. RT-qPCR primers used are listed: F_ID and R_ID.</w:t>
      </w:r>
    </w:p>
    <w:p w14:paraId="3328EDC9" w14:textId="77777777" w:rsidR="00385F97" w:rsidRDefault="00385F97"/>
    <w:sectPr w:rsidR="00385F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9EE"/>
    <w:rsid w:val="00385F97"/>
    <w:rsid w:val="003D29EE"/>
    <w:rsid w:val="00B3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7B4DAC"/>
  <w15:chartTrackingRefBased/>
  <w15:docId w15:val="{50E6078B-F779-B149-BD93-C82890566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D29EE"/>
    <w:pPr>
      <w:spacing w:line="276" w:lineRule="auto"/>
    </w:pPr>
    <w:rPr>
      <w:rFonts w:ascii="Arial" w:eastAsia="Arial" w:hAnsi="Arial" w:cs="Arial"/>
      <w:kern w:val="0"/>
      <w:sz w:val="22"/>
      <w:szCs w:val="22"/>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D29EE"/>
    <w:rPr>
      <w:b/>
      <w:bCs/>
    </w:rPr>
  </w:style>
  <w:style w:type="character" w:customStyle="1" w:styleId="apple-converted-space">
    <w:name w:val="apple-converted-space"/>
    <w:basedOn w:val="DefaultParagraphFont"/>
    <w:rsid w:val="003D29EE"/>
  </w:style>
  <w:style w:type="character" w:styleId="Emphasis">
    <w:name w:val="Emphasis"/>
    <w:basedOn w:val="DefaultParagraphFont"/>
    <w:uiPriority w:val="20"/>
    <w:qFormat/>
    <w:rsid w:val="003D29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1095</Words>
  <Characters>6243</Characters>
  <Application>Microsoft Office Word</Application>
  <DocSecurity>0</DocSecurity>
  <Lines>52</Lines>
  <Paragraphs>14</Paragraphs>
  <ScaleCrop>false</ScaleCrop>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M Springer</dc:creator>
  <cp:keywords/>
  <dc:description/>
  <cp:lastModifiedBy>Nathan M Springer</cp:lastModifiedBy>
  <cp:revision>1</cp:revision>
  <dcterms:created xsi:type="dcterms:W3CDTF">2023-09-15T11:15:00Z</dcterms:created>
  <dcterms:modified xsi:type="dcterms:W3CDTF">2023-09-15T11:15:00Z</dcterms:modified>
</cp:coreProperties>
</file>