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3C065E" w14:textId="77777777" w:rsidR="00502EDF" w:rsidRDefault="00502EDF" w:rsidP="00502EDF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  <w:noProof/>
          <w:lang w:eastAsia="en-GB"/>
        </w:rPr>
        <w:drawing>
          <wp:inline distT="0" distB="0" distL="0" distR="0" wp14:anchorId="2A6AE6BB" wp14:editId="62225BCA">
            <wp:extent cx="5586984" cy="4901184"/>
            <wp:effectExtent l="0" t="0" r="127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gure S6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6984" cy="4901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D23D5" w14:textId="77777777" w:rsidR="00502EDF" w:rsidRDefault="00502EDF" w:rsidP="00502EDF">
      <w:pPr>
        <w:spacing w:line="480" w:lineRule="auto"/>
        <w:rPr>
          <w:rFonts w:ascii="PT Sans" w:hAnsi="PT Sans"/>
          <w:b/>
        </w:rPr>
      </w:pPr>
    </w:p>
    <w:p w14:paraId="15E47A7F" w14:textId="77777777" w:rsidR="00502EDF" w:rsidRDefault="00502EDF" w:rsidP="00502EDF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>Figure S6</w:t>
      </w:r>
      <w:r>
        <w:rPr>
          <w:rFonts w:ascii="PT Sans" w:hAnsi="PT Sans"/>
        </w:rPr>
        <w:t xml:space="preserve"> </w:t>
      </w:r>
      <w:r>
        <w:rPr>
          <w:rFonts w:ascii="PT Sans" w:hAnsi="PT Sans"/>
          <w:b/>
        </w:rPr>
        <w:t xml:space="preserve">Fitness effects for the smaller deletion, </w:t>
      </w:r>
      <w:r>
        <w:rPr>
          <w:rFonts w:ascii="PT Sans" w:hAnsi="PT Sans"/>
          <w:b/>
          <w:i/>
        </w:rPr>
        <w:t>D</w:t>
      </w:r>
      <w:r>
        <w:rPr>
          <w:rFonts w:ascii="PT Sans" w:hAnsi="PT Sans"/>
          <w:b/>
          <w:i/>
        </w:rPr>
        <w:sym w:font="Symbol" w:char="F062"/>
      </w:r>
      <w:r>
        <w:rPr>
          <w:rFonts w:ascii="PT Sans" w:hAnsi="PT Sans"/>
          <w:b/>
          <w:i/>
        </w:rPr>
        <w:t>1</w:t>
      </w:r>
      <w:r>
        <w:rPr>
          <w:rFonts w:ascii="PT Sans" w:hAnsi="PT Sans"/>
          <w:b/>
          <w:i/>
        </w:rPr>
        <w:sym w:font="Symbol" w:char="F044"/>
      </w:r>
      <w:r>
        <w:rPr>
          <w:rFonts w:ascii="PT Sans" w:hAnsi="PT Sans"/>
          <w:b/>
          <w:i/>
        </w:rPr>
        <w:t>ex3</w:t>
      </w:r>
      <w:r>
        <w:rPr>
          <w:rFonts w:ascii="PT Sans" w:hAnsi="PT Sans"/>
          <w:b/>
        </w:rPr>
        <w:t xml:space="preserve">, and </w:t>
      </w:r>
      <w:r>
        <w:rPr>
          <w:rFonts w:ascii="PT Sans" w:hAnsi="PT Sans"/>
          <w:b/>
          <w:i/>
        </w:rPr>
        <w:t>D</w:t>
      </w:r>
      <w:r>
        <w:rPr>
          <w:rFonts w:ascii="PT Sans" w:hAnsi="PT Sans"/>
          <w:b/>
          <w:i/>
        </w:rPr>
        <w:sym w:font="Symbol" w:char="F062"/>
      </w:r>
      <w:r>
        <w:rPr>
          <w:rFonts w:ascii="PT Sans" w:hAnsi="PT Sans"/>
          <w:b/>
          <w:i/>
        </w:rPr>
        <w:t>1</w:t>
      </w:r>
      <w:r>
        <w:rPr>
          <w:rFonts w:ascii="PT Sans" w:hAnsi="PT Sans"/>
          <w:b/>
        </w:rPr>
        <w:t xml:space="preserve">-TG4 </w:t>
      </w:r>
    </w:p>
    <w:p w14:paraId="793C24FD" w14:textId="77777777" w:rsidR="00502EDF" w:rsidRDefault="00502EDF" w:rsidP="00502EDF">
      <w:pPr>
        <w:spacing w:line="480" w:lineRule="auto"/>
        <w:ind w:hanging="11"/>
        <w:rPr>
          <w:rFonts w:ascii="PT Sans" w:hAnsi="PT Sans"/>
        </w:rPr>
      </w:pPr>
      <w:r w:rsidRPr="006E36A7">
        <w:rPr>
          <w:rFonts w:ascii="PT Sans" w:hAnsi="PT Sans" w:cs="Calibri"/>
          <w:i/>
        </w:rPr>
        <w:t>D</w:t>
      </w:r>
      <w:r w:rsidRPr="006E36A7">
        <w:rPr>
          <w:rFonts w:ascii="PT Sans" w:hAnsi="PT Sans" w:cs="Calibri"/>
          <w:i/>
        </w:rPr>
        <w:sym w:font="Symbol" w:char="F062"/>
      </w:r>
      <w:r w:rsidRPr="006E36A7">
        <w:rPr>
          <w:rFonts w:ascii="PT Sans" w:hAnsi="PT Sans" w:cs="Calibri"/>
          <w:i/>
        </w:rPr>
        <w:t>1</w:t>
      </w:r>
      <w:r w:rsidRPr="006E36A7">
        <w:rPr>
          <w:rFonts w:ascii="PT Sans" w:hAnsi="PT Sans" w:cs="Calibri"/>
          <w:i/>
        </w:rPr>
        <w:sym w:font="Symbol" w:char="F044"/>
      </w:r>
      <w:r w:rsidRPr="00B81F29">
        <w:rPr>
          <w:rFonts w:ascii="PT Sans" w:hAnsi="PT Sans" w:cs="Calibri"/>
          <w:i/>
        </w:rPr>
        <w:t>ex3</w:t>
      </w:r>
      <w:r>
        <w:rPr>
          <w:rFonts w:ascii="PT Sans" w:hAnsi="PT Sans" w:cs="Calibri"/>
        </w:rPr>
        <w:t xml:space="preserve"> (a deletion) and </w:t>
      </w:r>
      <w:r w:rsidRPr="006E36A7">
        <w:rPr>
          <w:rFonts w:ascii="PT Sans" w:hAnsi="PT Sans" w:cs="Calibri"/>
          <w:i/>
        </w:rPr>
        <w:t>D</w:t>
      </w:r>
      <w:r w:rsidRPr="006E36A7">
        <w:rPr>
          <w:rFonts w:ascii="PT Sans" w:hAnsi="PT Sans" w:cs="Calibri"/>
          <w:i/>
        </w:rPr>
        <w:sym w:font="Symbol" w:char="F062"/>
      </w:r>
      <w:r w:rsidRPr="006E36A7">
        <w:rPr>
          <w:rFonts w:ascii="PT Sans" w:hAnsi="PT Sans" w:cs="Calibri"/>
          <w:i/>
        </w:rPr>
        <w:t>1</w:t>
      </w:r>
      <w:r>
        <w:rPr>
          <w:rFonts w:ascii="PT Sans" w:hAnsi="PT Sans" w:cs="Calibri"/>
          <w:i/>
        </w:rPr>
        <w:t>-</w:t>
      </w:r>
      <w:r>
        <w:rPr>
          <w:rFonts w:ascii="PT Sans" w:hAnsi="PT Sans" w:cs="Calibri"/>
        </w:rPr>
        <w:t xml:space="preserve">TG4 (a T2A-GAL4 insertion) were examined in homozygosis and in transheterozygosis with </w:t>
      </w:r>
      <w:r w:rsidRPr="006E36A7">
        <w:rPr>
          <w:rFonts w:ascii="PT Sans" w:hAnsi="PT Sans" w:cs="Calibri"/>
          <w:i/>
        </w:rPr>
        <w:t>D</w:t>
      </w:r>
      <w:r w:rsidRPr="006E36A7">
        <w:rPr>
          <w:rFonts w:ascii="PT Sans" w:hAnsi="PT Sans" w:cs="Calibri"/>
          <w:i/>
        </w:rPr>
        <w:sym w:font="Symbol" w:char="F062"/>
      </w:r>
      <w:r w:rsidRPr="006E36A7">
        <w:rPr>
          <w:rFonts w:ascii="PT Sans" w:hAnsi="PT Sans" w:cs="Calibri"/>
          <w:i/>
        </w:rPr>
        <w:t>1</w:t>
      </w:r>
      <w:r w:rsidRPr="006E36A7">
        <w:rPr>
          <w:rFonts w:ascii="PT Sans" w:hAnsi="PT Sans" w:cs="Calibri"/>
          <w:i/>
        </w:rPr>
        <w:sym w:font="Symbol" w:char="F044"/>
      </w:r>
      <w:r w:rsidRPr="00623B4B">
        <w:rPr>
          <w:rFonts w:ascii="PT Sans" w:hAnsi="PT Sans" w:cs="Calibri"/>
          <w:i/>
        </w:rPr>
        <w:t>ex5</w:t>
      </w:r>
      <w:r>
        <w:rPr>
          <w:rFonts w:ascii="PT Sans" w:hAnsi="PT Sans" w:cs="Calibri"/>
        </w:rPr>
        <w:t>. The background control strain is wAC9 (</w:t>
      </w:r>
      <w:r>
        <w:rPr>
          <w:rFonts w:ascii="PT Sans" w:hAnsi="PT Sans" w:cs="Calibri"/>
          <w:i/>
        </w:rPr>
        <w:t>w; +; +</w:t>
      </w:r>
      <w:r>
        <w:rPr>
          <w:rFonts w:ascii="PT Sans" w:hAnsi="PT Sans" w:cs="Calibri"/>
        </w:rPr>
        <w:t xml:space="preserve">). </w:t>
      </w:r>
      <w:r w:rsidRPr="00CE0C2F">
        <w:rPr>
          <w:rFonts w:ascii="PT Sans" w:hAnsi="PT Sans" w:cs="Calibri"/>
        </w:rPr>
        <w:t>(A</w:t>
      </w:r>
      <w:r>
        <w:rPr>
          <w:rFonts w:ascii="PT Sans" w:hAnsi="PT Sans"/>
        </w:rPr>
        <w:t xml:space="preserve">) Developmental mortality was common in homozygotes, most notably for </w:t>
      </w:r>
      <w:r w:rsidRPr="006E36A7">
        <w:rPr>
          <w:rFonts w:ascii="PT Sans" w:hAnsi="PT Sans" w:cs="Calibri"/>
          <w:i/>
        </w:rPr>
        <w:t>D</w:t>
      </w:r>
      <w:r w:rsidRPr="006E36A7">
        <w:rPr>
          <w:rFonts w:ascii="PT Sans" w:hAnsi="PT Sans" w:cs="Calibri"/>
          <w:i/>
        </w:rPr>
        <w:sym w:font="Symbol" w:char="F062"/>
      </w:r>
      <w:r w:rsidRPr="006E36A7">
        <w:rPr>
          <w:rFonts w:ascii="PT Sans" w:hAnsi="PT Sans" w:cs="Calibri"/>
          <w:i/>
        </w:rPr>
        <w:t>1</w:t>
      </w:r>
      <w:r>
        <w:rPr>
          <w:rFonts w:ascii="PT Sans" w:hAnsi="PT Sans" w:cs="Calibri"/>
          <w:i/>
        </w:rPr>
        <w:t>-</w:t>
      </w:r>
      <w:r>
        <w:rPr>
          <w:rFonts w:ascii="PT Sans" w:hAnsi="PT Sans" w:cs="Calibri"/>
        </w:rPr>
        <w:t>TG4 where 0% survived to adulthood (</w:t>
      </w:r>
      <w:r>
        <w:rPr>
          <w:rFonts w:ascii="PT Sans" w:hAnsi="PT Sans" w:cs="Calibri"/>
          <w:i/>
        </w:rPr>
        <w:t xml:space="preserve">n = </w:t>
      </w:r>
      <w:r>
        <w:rPr>
          <w:rFonts w:ascii="PT Sans" w:hAnsi="PT Sans" w:cs="Calibri"/>
        </w:rPr>
        <w:t xml:space="preserve">250). Since homozygous </w:t>
      </w:r>
      <w:r>
        <w:rPr>
          <w:rFonts w:ascii="PT Sans" w:hAnsi="PT Sans" w:cs="Calibri"/>
          <w:i/>
        </w:rPr>
        <w:t>D</w:t>
      </w:r>
      <w:r>
        <w:rPr>
          <w:rFonts w:ascii="PT Sans" w:hAnsi="PT Sans" w:cs="Calibri"/>
          <w:i/>
        </w:rPr>
        <w:sym w:font="Symbol" w:char="F062"/>
      </w:r>
      <w:r>
        <w:rPr>
          <w:rFonts w:ascii="PT Sans" w:hAnsi="PT Sans" w:cs="Calibri"/>
          <w:i/>
        </w:rPr>
        <w:t>1</w:t>
      </w:r>
      <w:r>
        <w:rPr>
          <w:rFonts w:ascii="PT Sans" w:hAnsi="PT Sans" w:cs="Calibri"/>
        </w:rPr>
        <w:t xml:space="preserve">-TG4 adults could not be collected, and transheterozygous </w:t>
      </w:r>
      <w:r>
        <w:rPr>
          <w:rFonts w:ascii="PT Sans" w:hAnsi="PT Sans" w:cs="Calibri"/>
          <w:i/>
        </w:rPr>
        <w:t>D</w:t>
      </w:r>
      <w:r>
        <w:rPr>
          <w:rFonts w:ascii="PT Sans" w:hAnsi="PT Sans" w:cs="Calibri"/>
          <w:i/>
        </w:rPr>
        <w:sym w:font="Symbol" w:char="F062"/>
      </w:r>
      <w:r>
        <w:rPr>
          <w:rFonts w:ascii="PT Sans" w:hAnsi="PT Sans" w:cs="Calibri"/>
          <w:i/>
        </w:rPr>
        <w:t>1</w:t>
      </w:r>
      <w:r>
        <w:rPr>
          <w:rFonts w:ascii="PT Sans" w:hAnsi="PT Sans" w:cs="Calibri"/>
        </w:rPr>
        <w:t xml:space="preserve">-TG4 adults are already presented in Figures 2 and 3, these genotypes are absent from (B-E). (B) </w:t>
      </w:r>
      <w:r>
        <w:rPr>
          <w:rFonts w:ascii="PT Sans" w:hAnsi="PT Sans"/>
        </w:rPr>
        <w:t>Kaplan-Meier survival plots with black dashed lines marking median longevity. Longevity was significantly low in homozygotes and transheterozygotes relative to the wAC9 control.</w:t>
      </w:r>
      <w:r>
        <w:rPr>
          <w:rFonts w:ascii="PT Sans" w:hAnsi="PT Sans" w:cs="Calibri"/>
        </w:rPr>
        <w:t xml:space="preserve"> </w:t>
      </w:r>
      <w:r>
        <w:rPr>
          <w:rFonts w:ascii="PT Sans" w:hAnsi="PT Sans"/>
        </w:rPr>
        <w:lastRenderedPageBreak/>
        <w:t>Shading represents 95% confidence intervals</w:t>
      </w:r>
      <w:r w:rsidRPr="00AA3658">
        <w:rPr>
          <w:rFonts w:ascii="PT Sans" w:hAnsi="PT Sans"/>
        </w:rPr>
        <w:t xml:space="preserve"> </w:t>
      </w:r>
      <w:r>
        <w:rPr>
          <w:rFonts w:ascii="PT Sans" w:hAnsi="PT Sans" w:cs="Calibri"/>
        </w:rPr>
        <w:t>(</w:t>
      </w:r>
      <w:r w:rsidRPr="00E371BF">
        <w:rPr>
          <w:rFonts w:ascii="PT Sans" w:hAnsi="PT Sans"/>
          <w:i/>
        </w:rPr>
        <w:t>n</w:t>
      </w:r>
      <w:r>
        <w:rPr>
          <w:rFonts w:ascii="PT Sans" w:hAnsi="PT Sans"/>
        </w:rPr>
        <w:t xml:space="preserve"> = 80,</w:t>
      </w:r>
      <w:r>
        <w:rPr>
          <w:rFonts w:ascii="PT Sans" w:hAnsi="PT Sans" w:cs="Calibri"/>
          <w:i/>
        </w:rPr>
        <w:t xml:space="preserve"> </w:t>
      </w:r>
      <w:r w:rsidRPr="00A40810">
        <w:rPr>
          <w:rFonts w:ascii="PT Sans" w:hAnsi="PT Sans" w:cs="Calibri"/>
        </w:rPr>
        <w:t>Cox-Mantel test</w:t>
      </w:r>
      <w:r>
        <w:rPr>
          <w:rFonts w:ascii="PT Sans" w:hAnsi="PT Sans" w:cs="Calibri"/>
        </w:rPr>
        <w:t xml:space="preserve">). (C) </w:t>
      </w:r>
      <w:r w:rsidRPr="009D65F7">
        <w:rPr>
          <w:rFonts w:ascii="PT Sans" w:hAnsi="PT Sans" w:cs="Calibri"/>
        </w:rPr>
        <w:t>Number of viable eggs laid per female per day, throughout lifespan</w:t>
      </w:r>
      <w:r>
        <w:rPr>
          <w:rFonts w:ascii="PT Sans" w:hAnsi="PT Sans" w:cs="Calibri"/>
        </w:rPr>
        <w:t>. No egg laying was observed for homozygotes or transheterozygotes. Error bars indicate SEM (</w:t>
      </w:r>
      <w:r>
        <w:rPr>
          <w:rFonts w:ascii="PT Sans" w:hAnsi="PT Sans" w:cs="Calibri"/>
          <w:i/>
        </w:rPr>
        <w:t>n =</w:t>
      </w:r>
      <w:r>
        <w:rPr>
          <w:rFonts w:ascii="PT Sans" w:hAnsi="PT Sans" w:cs="Calibri"/>
        </w:rPr>
        <w:t xml:space="preserve"> 40, *** </w:t>
      </w:r>
      <w:r>
        <w:rPr>
          <w:rFonts w:ascii="PT Sans" w:hAnsi="PT Sans" w:cs="Calibri"/>
          <w:i/>
        </w:rPr>
        <w:t xml:space="preserve">p </w:t>
      </w:r>
      <w:r>
        <w:rPr>
          <w:rFonts w:ascii="PT Sans" w:hAnsi="PT Sans" w:cs="Calibri"/>
        </w:rPr>
        <w:t xml:space="preserve">&lt; 0.001, Student’s t-test </w:t>
      </w:r>
      <w:r>
        <w:rPr>
          <w:rFonts w:ascii="PT Sans" w:hAnsi="PT Sans"/>
        </w:rPr>
        <w:t>performed for each time point</w:t>
      </w:r>
      <w:r>
        <w:rPr>
          <w:rFonts w:ascii="PT Sans" w:hAnsi="PT Sans" w:cs="Calibri"/>
        </w:rPr>
        <w:t>). (D) Wing expansion was disrupted in most homozygotes and transheterozygotes (</w:t>
      </w:r>
      <w:r w:rsidRPr="00F62329">
        <w:rPr>
          <w:rFonts w:ascii="PT Sans" w:hAnsi="PT Sans" w:cs="Calibri"/>
          <w:i/>
        </w:rPr>
        <w:t>n</w:t>
      </w:r>
      <w:r>
        <w:rPr>
          <w:rFonts w:ascii="PT Sans" w:hAnsi="PT Sans" w:cs="Calibri"/>
        </w:rPr>
        <w:t xml:space="preserve"> = 250). UE, unexpanded; PE, partially expanded; FE, fully expanded. (E) Homozygotes and transheterozygotes failed all climbing assays</w:t>
      </w:r>
      <w:r>
        <w:rPr>
          <w:rFonts w:ascii="PT Sans" w:hAnsi="PT Sans"/>
        </w:rPr>
        <w:t>. Error bars indicate SEM (</w:t>
      </w:r>
      <w:r>
        <w:rPr>
          <w:rFonts w:ascii="PT Sans" w:hAnsi="PT Sans"/>
          <w:i/>
        </w:rPr>
        <w:t xml:space="preserve">n = </w:t>
      </w:r>
      <w:r>
        <w:rPr>
          <w:rFonts w:ascii="PT Sans" w:hAnsi="PT Sans"/>
        </w:rPr>
        <w:t xml:space="preserve">80, </w:t>
      </w:r>
      <w:r>
        <w:rPr>
          <w:rFonts w:ascii="PT Sans" w:hAnsi="PT Sans"/>
          <w:i/>
        </w:rPr>
        <w:t xml:space="preserve">p </w:t>
      </w:r>
      <w:r>
        <w:rPr>
          <w:rFonts w:ascii="PT Sans" w:hAnsi="PT Sans"/>
        </w:rPr>
        <w:t xml:space="preserve">*** &lt; 0.001, Tukey’s HSD pair-wise test). </w:t>
      </w:r>
    </w:p>
    <w:p w14:paraId="1363E95C" w14:textId="77777777" w:rsidR="00A45271" w:rsidRDefault="00502EDF"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2EDF"/>
    <w:rsid w:val="002A76E7"/>
    <w:rsid w:val="003E66E5"/>
    <w:rsid w:val="003F7169"/>
    <w:rsid w:val="00440739"/>
    <w:rsid w:val="00502EDF"/>
    <w:rsid w:val="0053777F"/>
    <w:rsid w:val="005717FE"/>
    <w:rsid w:val="006F4E63"/>
    <w:rsid w:val="00772317"/>
    <w:rsid w:val="008E7E67"/>
    <w:rsid w:val="00B8438F"/>
    <w:rsid w:val="00CB5139"/>
    <w:rsid w:val="00E42B8D"/>
    <w:rsid w:val="00E57C9F"/>
    <w:rsid w:val="00E9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09EA59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502ED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198</Words>
  <Characters>1130</Characters>
  <Application>Microsoft Macintosh Word</Application>
  <DocSecurity>0</DocSecurity>
  <Lines>9</Lines>
  <Paragraphs>2</Paragraphs>
  <ScaleCrop>false</ScaleCrop>
  <LinksUpToDate>false</LinksUpToDate>
  <CharactersWithSpaces>1326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2021-05-14T01:54:00Z</dcterms:created>
  <dcterms:modified xsi:type="dcterms:W3CDTF">2021-05-14T01:55:00Z</dcterms:modified>
</cp:coreProperties>
</file>