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AAE87D" w14:textId="4C9C72F5" w:rsidR="00D10A58" w:rsidRPr="00040A08" w:rsidRDefault="00D10A58" w:rsidP="00040A08">
      <w:pPr>
        <w:rPr>
          <w:rFonts w:ascii="Microsoft Sans Serif" w:hAnsi="Microsoft Sans Serif" w:cs="Microsoft Sans Serif"/>
          <w:sz w:val="20"/>
          <w:szCs w:val="20"/>
        </w:rPr>
      </w:pPr>
    </w:p>
    <w:p w14:paraId="78685179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12481C74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68B36DF9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6F84F9A8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221B895C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38669EC8" w14:textId="77777777" w:rsidR="00D10A58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14:paraId="25869C88" w14:textId="157158C1" w:rsidR="00D10A58" w:rsidRPr="00D46121" w:rsidRDefault="00D10A58" w:rsidP="00D10A58">
      <w:pPr>
        <w:spacing w:line="480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D46121">
        <w:rPr>
          <w:rFonts w:ascii="Arial" w:hAnsi="Arial" w:cs="Arial"/>
          <w:b/>
          <w:bCs/>
          <w:sz w:val="28"/>
          <w:szCs w:val="28"/>
        </w:rPr>
        <w:t xml:space="preserve">SUPPLEMENTARY </w:t>
      </w:r>
      <w:r>
        <w:rPr>
          <w:rFonts w:ascii="Arial" w:hAnsi="Arial" w:cs="Arial"/>
          <w:b/>
          <w:bCs/>
          <w:sz w:val="28"/>
          <w:szCs w:val="28"/>
        </w:rPr>
        <w:t>FIGURES</w:t>
      </w:r>
    </w:p>
    <w:p w14:paraId="382FC454" w14:textId="77777777" w:rsidR="00D10A58" w:rsidRPr="00D46121" w:rsidRDefault="00D10A58" w:rsidP="00D10A58">
      <w:pPr>
        <w:spacing w:line="480" w:lineRule="auto"/>
        <w:jc w:val="center"/>
        <w:rPr>
          <w:rFonts w:ascii="Arial" w:eastAsia="Times New Roman" w:hAnsi="Arial" w:cs="Arial"/>
          <w:b/>
          <w:bCs/>
          <w:color w:val="333333"/>
          <w:sz w:val="28"/>
          <w:szCs w:val="28"/>
          <w:u w:val="single"/>
          <w:shd w:val="clear" w:color="auto" w:fill="FFFFFF"/>
        </w:rPr>
      </w:pPr>
    </w:p>
    <w:p w14:paraId="1B8BA9D4" w14:textId="77777777" w:rsidR="00D10A58" w:rsidRPr="00D46121" w:rsidRDefault="00D10A58" w:rsidP="00D10A58">
      <w:pPr>
        <w:spacing w:line="480" w:lineRule="auto"/>
        <w:jc w:val="center"/>
        <w:rPr>
          <w:rFonts w:ascii="Arial" w:eastAsia="Times New Roman" w:hAnsi="Arial" w:cs="Arial"/>
          <w:b/>
          <w:bCs/>
          <w:color w:val="333333"/>
          <w:sz w:val="28"/>
          <w:szCs w:val="28"/>
          <w:u w:val="single"/>
          <w:shd w:val="clear" w:color="auto" w:fill="FFFFFF"/>
        </w:rPr>
      </w:pPr>
      <w:r w:rsidRPr="00D46121">
        <w:rPr>
          <w:rFonts w:ascii="Arial" w:eastAsia="Times New Roman" w:hAnsi="Arial" w:cs="Arial"/>
          <w:b/>
          <w:bCs/>
          <w:color w:val="333333"/>
          <w:sz w:val="28"/>
          <w:szCs w:val="28"/>
          <w:u w:val="single"/>
          <w:shd w:val="clear" w:color="auto" w:fill="FFFFFF"/>
        </w:rPr>
        <w:t>LI Detector: a framework for sensitive colony-based screens regardless of the distribution of fitness effects</w:t>
      </w:r>
    </w:p>
    <w:p w14:paraId="57FEDF4A" w14:textId="77777777" w:rsidR="00D10A58" w:rsidRPr="00D46121" w:rsidRDefault="00D10A58" w:rsidP="00D10A58">
      <w:pPr>
        <w:spacing w:line="480" w:lineRule="auto"/>
        <w:jc w:val="center"/>
        <w:rPr>
          <w:rFonts w:ascii="Arial" w:eastAsia="Times New Roman" w:hAnsi="Arial" w:cs="Arial"/>
          <w:b/>
          <w:bCs/>
          <w:color w:val="333333"/>
          <w:sz w:val="28"/>
          <w:szCs w:val="28"/>
          <w:u w:val="single"/>
          <w:shd w:val="clear" w:color="auto" w:fill="FFFFFF"/>
        </w:rPr>
      </w:pPr>
    </w:p>
    <w:p w14:paraId="67C8F957" w14:textId="06FC77D0" w:rsidR="00D10A58" w:rsidRDefault="00D10A58" w:rsidP="00D10A58">
      <w:pPr>
        <w:spacing w:line="480" w:lineRule="auto"/>
        <w:jc w:val="center"/>
        <w:rPr>
          <w:rFonts w:ascii="Arial" w:eastAsia="Times New Roman" w:hAnsi="Arial" w:cs="Arial"/>
          <w:i/>
          <w:iCs/>
          <w:color w:val="333333"/>
          <w:sz w:val="28"/>
          <w:szCs w:val="28"/>
          <w:shd w:val="clear" w:color="auto" w:fill="FFFFFF"/>
        </w:rPr>
      </w:pPr>
      <w:r w:rsidRPr="00D46121">
        <w:rPr>
          <w:rFonts w:ascii="Arial" w:eastAsia="Times New Roman" w:hAnsi="Arial" w:cs="Arial"/>
          <w:i/>
          <w:iCs/>
          <w:color w:val="333333"/>
          <w:sz w:val="28"/>
          <w:szCs w:val="28"/>
          <w:shd w:val="clear" w:color="auto" w:fill="FFFFFF"/>
        </w:rPr>
        <w:t>Parikh et al.</w:t>
      </w:r>
    </w:p>
    <w:p w14:paraId="0E1B0A8F" w14:textId="241BDB1A" w:rsidR="005C3EA3" w:rsidRPr="00D10A58" w:rsidRDefault="00D10A58" w:rsidP="00D10A58">
      <w:pPr>
        <w:rPr>
          <w:rFonts w:ascii="Arial" w:eastAsia="Times New Roman" w:hAnsi="Arial" w:cs="Arial"/>
          <w:i/>
          <w:iCs/>
          <w:color w:val="333333"/>
          <w:sz w:val="28"/>
          <w:szCs w:val="28"/>
          <w:shd w:val="clear" w:color="auto" w:fill="FFFFFF"/>
        </w:rPr>
      </w:pPr>
      <w:r>
        <w:rPr>
          <w:rFonts w:ascii="Arial" w:eastAsia="Times New Roman" w:hAnsi="Arial" w:cs="Arial"/>
          <w:i/>
          <w:iCs/>
          <w:color w:val="333333"/>
          <w:sz w:val="28"/>
          <w:szCs w:val="28"/>
          <w:shd w:val="clear" w:color="auto" w:fill="FFFFFF"/>
        </w:rPr>
        <w:br w:type="page"/>
      </w:r>
    </w:p>
    <w:p w14:paraId="22F75D0F" w14:textId="77777777" w:rsidR="002902FD" w:rsidRDefault="002902FD" w:rsidP="00040A08">
      <w:pPr>
        <w:spacing w:line="480" w:lineRule="auto"/>
        <w:rPr>
          <w:rFonts w:ascii="Arial" w:hAnsi="Arial" w:cs="Arial"/>
          <w:sz w:val="20"/>
          <w:szCs w:val="20"/>
        </w:rPr>
      </w:pPr>
    </w:p>
    <w:p w14:paraId="06778037" w14:textId="0214A220" w:rsidR="006449CE" w:rsidRPr="00D46121" w:rsidRDefault="006449CE" w:rsidP="00FE778C">
      <w:pPr>
        <w:rPr>
          <w:rFonts w:ascii="Arial" w:hAnsi="Arial" w:cs="Arial"/>
          <w:sz w:val="20"/>
          <w:szCs w:val="20"/>
        </w:rPr>
      </w:pPr>
    </w:p>
    <w:p w14:paraId="05E96B14" w14:textId="77777777" w:rsidR="005C3EA3" w:rsidRPr="00366AA4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18D3DAA" wp14:editId="4283570F">
            <wp:extent cx="5943600" cy="3211055"/>
            <wp:effectExtent l="0" t="0" r="0" b="2540"/>
            <wp:docPr id="24" name="Picture 24" descr="A picture containing photo, monitor, oven, microwav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photo, monitor, oven, microwav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D8347" w14:textId="77777777" w:rsidR="005C3EA3" w:rsidRPr="002246D3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</w:p>
    <w:p w14:paraId="0F6230A9" w14:textId="6616CFB5" w:rsidR="00040A08" w:rsidRDefault="005C3EA3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S1. Spatial bias on a 6144-density plate.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The image on the top left is a 6144-density plate having an isogenic population. </w:t>
      </w:r>
      <w:r>
        <w:rPr>
          <w:rFonts w:ascii="Microsoft Sans Serif" w:hAnsi="Microsoft Sans Serif" w:cs="Microsoft Sans Serif"/>
          <w:sz w:val="20"/>
          <w:szCs w:val="20"/>
        </w:rPr>
        <w:t>The t</w:t>
      </w:r>
      <w:r w:rsidRPr="007862CA">
        <w:rPr>
          <w:rFonts w:ascii="Microsoft Sans Serif" w:hAnsi="Microsoft Sans Serif" w:cs="Microsoft Sans Serif"/>
          <w:sz w:val="20"/>
          <w:szCs w:val="20"/>
        </w:rPr>
        <w:t>op right shows a heatmap of the same plate where each tile represents a colony and is colored according to its colony size estimation (pixel counts), going from brown (low) to black (high).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sz w:val="20"/>
          <w:szCs w:val="20"/>
        </w:rPr>
        <w:t>On the bottom is an illustration of the types of spatial biases expected on a high-density plate.</w:t>
      </w:r>
    </w:p>
    <w:p w14:paraId="142B2D32" w14:textId="77777777" w:rsidR="00040A08" w:rsidRDefault="00040A08" w:rsidP="00040A08">
      <w:pPr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br w:type="page"/>
      </w:r>
    </w:p>
    <w:p w14:paraId="0E1210AF" w14:textId="77777777" w:rsidR="005C3EA3" w:rsidRDefault="005C3EA3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78534F42" w14:textId="2F149C46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7CA5366C" w14:textId="77777777" w:rsidR="006449CE" w:rsidRPr="00472E71" w:rsidRDefault="006449CE" w:rsidP="00040A08">
      <w:pPr>
        <w:rPr>
          <w:rFonts w:ascii="Arial" w:hAnsi="Arial" w:cs="Arial"/>
          <w:color w:val="1F3864" w:themeColor="accent1" w:themeShade="80"/>
        </w:rPr>
      </w:pPr>
      <w:r>
        <w:rPr>
          <w:rFonts w:ascii="Arial" w:hAnsi="Arial" w:cs="Arial"/>
          <w:noProof/>
          <w:color w:val="4472C4" w:themeColor="accent1"/>
        </w:rPr>
        <w:drawing>
          <wp:inline distT="0" distB="0" distL="0" distR="0" wp14:anchorId="43832F78" wp14:editId="1AC0E30A">
            <wp:extent cx="2971800" cy="2971800"/>
            <wp:effectExtent l="0" t="0" r="0" b="0"/>
            <wp:docPr id="10" name="Picture 1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, line char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5D72D" w14:textId="15ACA413" w:rsidR="006449CE" w:rsidRDefault="006449CE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ure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S2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  <w:r w:rsidRPr="00D7144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Colony growth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 w:rsidRPr="00D7144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at 6144-density.</w:t>
      </w:r>
      <w:r w:rsidRPr="00D71446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Colony size data from the eleven time points (</w:t>
      </w:r>
      <w:r w:rsidRPr="00D71446">
        <w:rPr>
          <w:rFonts w:ascii="Microsoft Sans Serif" w:hAnsi="Microsoft Sans Serif" w:cs="Microsoft Sans Serif"/>
          <w:sz w:val="20"/>
          <w:szCs w:val="20"/>
        </w:rPr>
        <w:t>1.0, 1.4, 2.9, 4.0, 4.9, 6.1, 6.9, 7.8, 9.0, 10.0, 11.0 hours) was used to construct the growth curve.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Each point on the plot is the log10 of the mean pixel count per time point. Lines connect consecutive data points.</w:t>
      </w:r>
    </w:p>
    <w:p w14:paraId="1AC399CE" w14:textId="5CF0444F" w:rsidR="006449CE" w:rsidRDefault="006449CE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348B8E60" w14:textId="77777777" w:rsidR="006449CE" w:rsidRPr="00366AA4" w:rsidRDefault="006449CE" w:rsidP="00040A08">
      <w:pPr>
        <w:spacing w:line="480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75B2AD0" wp14:editId="3F863EDC">
            <wp:extent cx="5943600" cy="5943600"/>
            <wp:effectExtent l="0" t="0" r="0" b="0"/>
            <wp:docPr id="20" name="Picture 20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Calenda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BEA2" w14:textId="4581D09F" w:rsidR="006449CE" w:rsidRPr="007862CA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3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Visual representation of the plate maps. </w:t>
      </w:r>
      <w:r w:rsidRPr="007862CA">
        <w:rPr>
          <w:rFonts w:ascii="Microsoft Sans Serif" w:hAnsi="Microsoft Sans Serif" w:cs="Microsoft Sans Serif"/>
          <w:sz w:val="20"/>
          <w:szCs w:val="20"/>
        </w:rPr>
        <w:t>Spatial layout of colonies across the plates of the experiment. Each row represents a different stage/density of the validation experiment. These maps are made using information like plate number, column number, row number, strain identifier number, mutant name</w:t>
      </w:r>
      <w:r>
        <w:rPr>
          <w:rFonts w:ascii="Microsoft Sans Serif" w:hAnsi="Microsoft Sans Serif" w:cs="Microsoft Sans Serif"/>
          <w:sz w:val="20"/>
          <w:szCs w:val="20"/>
        </w:rPr>
        <w:t>,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and unique </w:t>
      </w:r>
      <w:r>
        <w:rPr>
          <w:rFonts w:ascii="Microsoft Sans Serif" w:hAnsi="Microsoft Sans Serif" w:cs="Microsoft Sans Serif"/>
          <w:sz w:val="20"/>
          <w:szCs w:val="20"/>
        </w:rPr>
        <w:t>numeric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identifier for the position on the plate stored as the pos2coor and pos2orf_name tables. For simplicity, the mock mutants are given a binary color classification of either reference or mutant.</w:t>
      </w:r>
    </w:p>
    <w:p w14:paraId="087967B0" w14:textId="77777777" w:rsidR="006449CE" w:rsidRPr="00A3658B" w:rsidRDefault="006449CE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6BBCC29F" w14:textId="77777777" w:rsidR="006449CE" w:rsidRDefault="006449CE" w:rsidP="00040A08"/>
    <w:p w14:paraId="44BC08AA" w14:textId="77777777" w:rsidR="006449CE" w:rsidRPr="007862CA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44F16C28" w14:textId="77777777" w:rsidR="005C3EA3" w:rsidRPr="00366AA4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43AFAC0C" wp14:editId="45681AC8">
            <wp:extent cx="5919758" cy="5956300"/>
            <wp:effectExtent l="0" t="0" r="0" b="0"/>
            <wp:docPr id="19" name="Picture 19" descr="A picture containing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GURES16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9758" cy="595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F0D2C" w14:textId="77777777" w:rsidR="005C3EA3" w:rsidRPr="00D46121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</w:p>
    <w:p w14:paraId="2E395E9A" w14:textId="58EC9F6D" w:rsidR="005C3EA3" w:rsidRDefault="005C3EA3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 w:rsidR="006449CE">
        <w:rPr>
          <w:rFonts w:ascii="Microsoft Sans Serif" w:hAnsi="Microsoft Sans Serif" w:cs="Microsoft Sans Serif"/>
          <w:b/>
          <w:bCs/>
          <w:sz w:val="20"/>
          <w:szCs w:val="20"/>
        </w:rPr>
        <w:t>4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Source normalization step of the LI Detector. </w:t>
      </w:r>
      <w:r w:rsidRPr="007862CA">
        <w:rPr>
          <w:rFonts w:ascii="Microsoft Sans Serif" w:hAnsi="Microsoft Sans Serif" w:cs="Microsoft Sans Serif"/>
          <w:sz w:val="20"/>
          <w:szCs w:val="20"/>
        </w:rPr>
        <w:t>The target plate on the right represents a high-density plate made by experimentally condensing four lower density sources on the top left. A different color represents each source, and tiles represent colonies. This step introduces a systematic source-based bias in colony sizes that needs to be corrected. LI Detector implements a source normalization (SN) step, where it computationally downscales the colony size estimations of the higher density plate into its four-corresponding source-deconstructs shown on the bottom left. These source-deconstructs are individually normalized during the downstream analysis.</w:t>
      </w:r>
    </w:p>
    <w:p w14:paraId="08ACEC72" w14:textId="6CF78EB4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702A7F8E" w14:textId="296C67A5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3ED0DE90" w14:textId="6DF707F0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38F862EC" w14:textId="2BF7BE65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2197F791" w14:textId="5E012E3F" w:rsidR="006449CE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41ECC80F" w14:textId="77777777" w:rsidR="006449CE" w:rsidRDefault="006449CE" w:rsidP="00040A08">
      <w:pPr>
        <w:rPr>
          <w:rFonts w:ascii="Arial" w:hAnsi="Arial" w:cs="Arial"/>
          <w:i/>
          <w:iCs/>
          <w:color w:val="2F5496" w:themeColor="accent1" w:themeShade="BF"/>
        </w:rPr>
      </w:pPr>
      <w:r>
        <w:rPr>
          <w:rFonts w:ascii="Arial" w:hAnsi="Arial" w:cs="Arial"/>
          <w:i/>
          <w:iCs/>
          <w:noProof/>
          <w:color w:val="4472C4" w:themeColor="accent1"/>
        </w:rPr>
        <w:lastRenderedPageBreak/>
        <w:drawing>
          <wp:inline distT="0" distB="0" distL="0" distR="0" wp14:anchorId="79F1AD7F" wp14:editId="4799E1A3">
            <wp:extent cx="2971800" cy="2971800"/>
            <wp:effectExtent l="0" t="0" r="0" b="0"/>
            <wp:docPr id="12" name="Picture 12" descr="Chart, box and whisk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box and whisker char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3CF3A" w14:textId="6CB67621" w:rsidR="008D781A" w:rsidRDefault="006449CE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 w:rsidRPr="008422A3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</w:t>
      </w:r>
      <w:r w:rsidRPr="007152FB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ure S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5</w:t>
      </w:r>
      <w:r w:rsidRPr="007152FB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 w:rsidRPr="006E67CE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8422A3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Copy step in the pinning protocol </w:t>
      </w:r>
      <w:r w:rsidRPr="007152FB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reduces source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-based bias</w:t>
      </w:r>
      <w:r w:rsidRPr="007152FB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 w:rsidRPr="007152FB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Each panel consists of a box plot of source deconstructed plates. The panel on the left is of the 1536-density Upscale Plates (#1) that are made from four 384-density Transition Plates (#1). The panel on the right is the 1536-density Transition Plates (#2) that were made by copying the Upscale Plates (#2). The median subtracted colony sizes are shown on the x-axis. The left panel demonstrates the source-plate effect as seen by the differences in the median value (solid horizontal blac</w:t>
      </w:r>
      <w:r w:rsidRPr="00E57140">
        <w:rPr>
          <w:rFonts w:ascii="Microsoft Sans Serif" w:hAnsi="Microsoft Sans Serif" w:cs="Microsoft Sans Serif"/>
          <w:color w:val="000000" w:themeColor="text1"/>
          <w:sz w:val="20"/>
          <w:szCs w:val="20"/>
        </w:rPr>
        <w:t>k line) for each sourc</w:t>
      </w:r>
      <w:r w:rsidRPr="00B5056E">
        <w:rPr>
          <w:rFonts w:ascii="Microsoft Sans Serif" w:hAnsi="Microsoft Sans Serif" w:cs="Microsoft Sans Serif"/>
          <w:color w:val="000000" w:themeColor="text1"/>
          <w:sz w:val="20"/>
          <w:szCs w:val="20"/>
        </w:rPr>
        <w:t>e deconstructs. This effect is reduced for the panel on the right.</w:t>
      </w:r>
    </w:p>
    <w:p w14:paraId="2EDEB272" w14:textId="77777777" w:rsidR="008D781A" w:rsidRDefault="008D781A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br w:type="page"/>
      </w:r>
    </w:p>
    <w:p w14:paraId="30708CF7" w14:textId="77777777" w:rsidR="008D781A" w:rsidRPr="00366AA4" w:rsidRDefault="008D781A" w:rsidP="00040A08">
      <w:pPr>
        <w:spacing w:line="480" w:lineRule="auto"/>
        <w:rPr>
          <w:rFonts w:ascii="Arial" w:hAnsi="Arial" w:cs="Arial"/>
          <w:color w:val="000000" w:themeColor="text1"/>
          <w:sz w:val="22"/>
          <w:szCs w:val="22"/>
        </w:rPr>
      </w:pPr>
      <w:r w:rsidRPr="00366AA4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76C507D6" wp14:editId="7FCAA09D">
            <wp:extent cx="5943596" cy="3756175"/>
            <wp:effectExtent l="0" t="0" r="635" b="3175"/>
            <wp:docPr id="4" name="Picture 4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596" cy="375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B97E" w14:textId="0E5C1E42" w:rsidR="008D781A" w:rsidRDefault="008D781A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6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Using the condition negative dataset to estimate a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ccuracy of background colony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sizes and source normalization.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A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Coefficient of variance percentage (CV%) as a measure of spatial bias. The box plots show the CV% results for the raw colony size data (NO-NORM) and fitness estimated using a random colony size predictor (RND), </w:t>
      </w:r>
      <w:proofErr w:type="spellStart"/>
      <w:r w:rsidRPr="007862CA">
        <w:rPr>
          <w:rFonts w:ascii="Microsoft Sans Serif" w:hAnsi="Microsoft Sans Serif" w:cs="Microsoft Sans Serif"/>
          <w:sz w:val="20"/>
          <w:szCs w:val="20"/>
        </w:rPr>
        <w:t>Matlab</w:t>
      </w:r>
      <w:proofErr w:type="spellEnd"/>
      <w:r w:rsidRPr="007862CA">
        <w:rPr>
          <w:rFonts w:ascii="Microsoft Sans Serif" w:hAnsi="Microsoft Sans Serif" w:cs="Microsoft Sans Serif"/>
          <w:sz w:val="20"/>
          <w:szCs w:val="20"/>
        </w:rPr>
        <w:t xml:space="preserve"> Colony Analyzer Toolkit (MCAT)</w:t>
      </w:r>
      <w:r w:rsidR="00040A08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sz w:val="20"/>
          <w:szCs w:val="20"/>
        </w:rPr>
        <w:instrText xml:space="preserve"> ADDIN EN.CITE </w:instrText>
      </w:r>
      <w:r>
        <w:rPr>
          <w:rFonts w:ascii="Microsoft Sans Serif" w:hAnsi="Microsoft Sans Serif" w:cs="Microsoft Sans Serif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sz w:val="20"/>
          <w:szCs w:val="20"/>
        </w:rPr>
        <w:instrText xml:space="preserve"> ADDIN EN.CITE.DATA </w:instrText>
      </w:r>
      <w:r>
        <w:rPr>
          <w:rFonts w:ascii="Microsoft Sans Serif" w:hAnsi="Microsoft Sans Serif" w:cs="Microsoft Sans Serif"/>
          <w:sz w:val="20"/>
          <w:szCs w:val="20"/>
        </w:rPr>
      </w:r>
      <w:r>
        <w:rPr>
          <w:rFonts w:ascii="Microsoft Sans Serif" w:hAnsi="Microsoft Sans Serif" w:cs="Microsoft Sans Serif"/>
          <w:sz w:val="20"/>
          <w:szCs w:val="20"/>
        </w:rPr>
        <w:fldChar w:fldCharType="end"/>
      </w:r>
      <w:r w:rsidRPr="007862CA">
        <w:rPr>
          <w:rFonts w:ascii="Microsoft Sans Serif" w:hAnsi="Microsoft Sans Serif" w:cs="Microsoft Sans Serif"/>
          <w:sz w:val="20"/>
          <w:szCs w:val="20"/>
        </w:rPr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separate"/>
      </w:r>
      <w:r>
        <w:rPr>
          <w:rFonts w:ascii="Microsoft Sans Serif" w:hAnsi="Microsoft Sans Serif" w:cs="Microsoft Sans Serif"/>
          <w:noProof/>
          <w:sz w:val="20"/>
          <w:szCs w:val="20"/>
        </w:rPr>
        <w:t>(Bean et al. 2014)</w:t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end"/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, LI Detector without source normalization (LID-SN), LI Detector without local artifact correction (LID-AC) and LI Detector (LID). Wilcoxon </w:t>
      </w:r>
      <w:proofErr w:type="spellStart"/>
      <w:r w:rsidRPr="007862CA">
        <w:rPr>
          <w:rFonts w:ascii="Microsoft Sans Serif" w:hAnsi="Microsoft Sans Serif" w:cs="Microsoft Sans Serif"/>
          <w:sz w:val="20"/>
          <w:szCs w:val="20"/>
        </w:rPr>
        <w:t>ranksum</w:t>
      </w:r>
      <w:proofErr w:type="spellEnd"/>
      <w:r w:rsidRPr="007862CA">
        <w:rPr>
          <w:rFonts w:ascii="Microsoft Sans Serif" w:hAnsi="Microsoft Sans Serif" w:cs="Microsoft Sans Serif"/>
          <w:sz w:val="20"/>
          <w:szCs w:val="20"/>
        </w:rPr>
        <w:t xml:space="preserve"> test </w:t>
      </w:r>
      <w:r w:rsidR="003D1556">
        <w:rPr>
          <w:rFonts w:ascii="Microsoft Sans Serif" w:hAnsi="Microsoft Sans Serif" w:cs="Microsoft Sans Serif"/>
          <w:sz w:val="20"/>
          <w:szCs w:val="20"/>
        </w:rPr>
        <w:fldChar w:fldCharType="begin"/>
      </w:r>
      <w:r w:rsidR="003D1556">
        <w:rPr>
          <w:rFonts w:ascii="Microsoft Sans Serif" w:hAnsi="Microsoft Sans Serif" w:cs="Microsoft Sans Serif"/>
          <w:sz w:val="20"/>
          <w:szCs w:val="20"/>
        </w:rPr>
        <w:instrText xml:space="preserve"> ADDIN EN.CITE &lt;EndNote&gt;&lt;Cite&gt;&lt;Author&gt;Wilcoxon&lt;/Author&gt;&lt;Year&gt;1946&lt;/Year&gt;&lt;RecNum&gt;1223&lt;/RecNum&gt;&lt;DisplayText&gt;(Mann and Whitney 1947; Wilcoxon 1946)&lt;/DisplayText&gt;&lt;record&gt;&lt;rec-number&gt;1223&lt;/rec-number&gt;&lt;foreign-keys&gt;&lt;key app="EN" db-id="x2xav2dzzvp5ddez223vpv22tw9d5dx2dxxv" timestamp="1607095789"&gt;1223&lt;/key&gt;&lt;/foreign-keys&gt;&lt;ref-type name="Journal Article"&gt;17&lt;/ref-type&gt;&lt;contributors&gt;&lt;authors&gt;&lt;author&gt;Wilcoxon, F.&lt;/author&gt;&lt;/authors&gt;&lt;/contributors&gt;&lt;titles&gt;&lt;title&gt;Individual comparisons of grouped data by ranking methods&lt;/title&gt;&lt;secondary-title&gt;J Econ Entomol&lt;/secondary-title&gt;&lt;/titles&gt;&lt;periodical&gt;&lt;full-title&gt;J Econ Entomol&lt;/full-title&gt;&lt;/periodical&gt;&lt;pages&gt;269&lt;/pages&gt;&lt;volume&gt;39&lt;/volume&gt;&lt;edition&gt;1946/04/01&lt;/edition&gt;&lt;keywords&gt;&lt;keyword&gt;Animals&lt;/keyword&gt;&lt;keyword&gt;*Biometry&lt;/keyword&gt;&lt;keyword&gt;*Statistics as Topic&lt;/keyword&gt;&lt;keyword&gt;*statistics&lt;/keyword&gt;&lt;/keywords&gt;&lt;dates&gt;&lt;year&gt;1946&lt;/year&gt;&lt;pub-dates&gt;&lt;date&gt;Apr&lt;/date&gt;&lt;/pub-dates&gt;&lt;/dates&gt;&lt;isbn&gt;0022-0493 (Print)&amp;#xD;0022-0493 (Linking)&lt;/isbn&gt;&lt;accession-num&gt;20983181&lt;/accession-num&gt;&lt;urls&gt;&lt;related-urls&gt;&lt;url&gt;https://www.ncbi.nlm.nih.gov/pubmed/20983181&lt;/url&gt;&lt;/related-urls&gt;&lt;/urls&gt;&lt;electronic-resource-num&gt;10.1093/jee/39.2.269&lt;/electronic-resource-num&gt;&lt;/record&gt;&lt;/Cite&gt;&lt;Cite&gt;&lt;Author&gt;Mann&lt;/Author&gt;&lt;Year&gt;1947&lt;/Year&gt;&lt;RecNum&gt;1227&lt;/RecNum&gt;&lt;record&gt;&lt;rec-number&gt;1227&lt;/rec-number&gt;&lt;foreign-keys&gt;&lt;key app="EN" db-id="x2xav2dzzvp5ddez223vpv22tw9d5dx2dxxv" timestamp="1607096145"&gt;1227&lt;/key&gt;&lt;/foreign-keys&gt;&lt;ref-type name="Journal Article"&gt;17&lt;/ref-type&gt;&lt;contributors&gt;&lt;authors&gt;&lt;author&gt;Mann, H. B.&lt;/author&gt;&lt;author&gt;Whitney, D. R.&lt;/author&gt;&lt;/authors&gt;&lt;/contributors&gt;&lt;titles&gt;&lt;title&gt;On a test of whether one of two random variables is stochastically larger than the other&lt;/title&gt;&lt;secondary-title&gt;The Annals of Mathematical Statistics&lt;/secondary-title&gt;&lt;/titles&gt;&lt;periodical&gt;&lt;full-title&gt;The Annals of Mathematical Statistics&lt;/full-title&gt;&lt;/periodical&gt;&lt;pages&gt;50-60&lt;/pages&gt;&lt;volume&gt;18&lt;/volume&gt;&lt;number&gt;1&lt;/number&gt;&lt;dates&gt;&lt;year&gt;1947&lt;/year&gt;&lt;/dates&gt;&lt;urls&gt;&lt;/urls&gt;&lt;/record&gt;&lt;/Cite&gt;&lt;/EndNote&gt;</w:instrText>
      </w:r>
      <w:r w:rsidR="003D1556">
        <w:rPr>
          <w:rFonts w:ascii="Microsoft Sans Serif" w:hAnsi="Microsoft Sans Serif" w:cs="Microsoft Sans Serif"/>
          <w:sz w:val="20"/>
          <w:szCs w:val="20"/>
        </w:rPr>
        <w:fldChar w:fldCharType="separate"/>
      </w:r>
      <w:r w:rsidR="003D1556">
        <w:rPr>
          <w:rFonts w:ascii="Microsoft Sans Serif" w:hAnsi="Microsoft Sans Serif" w:cs="Microsoft Sans Serif"/>
          <w:noProof/>
          <w:sz w:val="20"/>
          <w:szCs w:val="20"/>
        </w:rPr>
        <w:t>(Mann and Whitney 1947; Wilcoxon 1946)</w:t>
      </w:r>
      <w:r w:rsidR="003D1556">
        <w:rPr>
          <w:rFonts w:ascii="Microsoft Sans Serif" w:hAnsi="Microsoft Sans Serif" w:cs="Microsoft Sans Serif"/>
          <w:sz w:val="20"/>
          <w:szCs w:val="20"/>
        </w:rPr>
        <w:fldChar w:fldCharType="end"/>
      </w:r>
      <w:r w:rsidR="003D1556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was used to compare results between NO-NORM and the rest.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B</w:t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Root mean square error (RMSE) of the background colony sizes compared to the observed colony size as a percentage of mean observed colony size per time point. Colors represent different </w:t>
      </w:r>
      <w:r w:rsidRPr="00027725">
        <w:rPr>
          <w:rFonts w:ascii="Microsoft Sans Serif" w:hAnsi="Microsoft Sans Serif" w:cs="Microsoft Sans Serif"/>
          <w:sz w:val="20"/>
          <w:szCs w:val="20"/>
        </w:rPr>
        <w:t>strategies for fitness estimation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.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C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</w:t>
      </w:r>
      <w:r w:rsidRPr="007862CA">
        <w:rPr>
          <w:rFonts w:ascii="Microsoft Sans Serif" w:hAnsi="Microsoft Sans Serif" w:cs="Microsoft Sans Serif"/>
          <w:sz w:val="20"/>
          <w:szCs w:val="20"/>
        </w:rPr>
        <w:t>Source-plate-wise violin plot of raw colony sizes and LID, LID-SN, LID-AC, and MCAT</w:t>
      </w:r>
      <w:r w:rsidR="00040A08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sz w:val="20"/>
          <w:szCs w:val="20"/>
        </w:rPr>
        <w:instrText xml:space="preserve"> ADDIN EN.CITE </w:instrText>
      </w:r>
      <w:r>
        <w:rPr>
          <w:rFonts w:ascii="Microsoft Sans Serif" w:hAnsi="Microsoft Sans Serif" w:cs="Microsoft Sans Serif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sz w:val="20"/>
          <w:szCs w:val="20"/>
        </w:rPr>
        <w:instrText xml:space="preserve"> ADDIN EN.CITE.DATA </w:instrText>
      </w:r>
      <w:r>
        <w:rPr>
          <w:rFonts w:ascii="Microsoft Sans Serif" w:hAnsi="Microsoft Sans Serif" w:cs="Microsoft Sans Serif"/>
          <w:sz w:val="20"/>
          <w:szCs w:val="20"/>
        </w:rPr>
      </w:r>
      <w:r>
        <w:rPr>
          <w:rFonts w:ascii="Microsoft Sans Serif" w:hAnsi="Microsoft Sans Serif" w:cs="Microsoft Sans Serif"/>
          <w:sz w:val="20"/>
          <w:szCs w:val="20"/>
        </w:rPr>
        <w:fldChar w:fldCharType="end"/>
      </w:r>
      <w:r w:rsidRPr="007862CA">
        <w:rPr>
          <w:rFonts w:ascii="Microsoft Sans Serif" w:hAnsi="Microsoft Sans Serif" w:cs="Microsoft Sans Serif"/>
          <w:sz w:val="20"/>
          <w:szCs w:val="20"/>
        </w:rPr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separate"/>
      </w:r>
      <w:r>
        <w:rPr>
          <w:rFonts w:ascii="Microsoft Sans Serif" w:hAnsi="Microsoft Sans Serif" w:cs="Microsoft Sans Serif"/>
          <w:noProof/>
          <w:sz w:val="20"/>
          <w:szCs w:val="20"/>
        </w:rPr>
        <w:t>(Bean et al. 2014)</w:t>
      </w:r>
      <w:r w:rsidRPr="007862CA">
        <w:rPr>
          <w:rFonts w:ascii="Microsoft Sans Serif" w:hAnsi="Microsoft Sans Serif" w:cs="Microsoft Sans Serif"/>
          <w:sz w:val="20"/>
          <w:szCs w:val="20"/>
        </w:rPr>
        <w:fldChar w:fldCharType="end"/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normalized fitness at saturation (time = 11.0 hours). Solid black vertical lines indicate lower, middle, and upper quartile. The source-wise distributions are compared using a non-parametric (Kruskal-Wallis)</w:t>
      </w:r>
      <w:r w:rsidR="00040A08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040A08">
        <w:rPr>
          <w:rFonts w:ascii="Microsoft Sans Serif" w:hAnsi="Microsoft Sans Serif" w:cs="Microsoft Sans Serif"/>
          <w:sz w:val="20"/>
          <w:szCs w:val="20"/>
        </w:rPr>
        <w:fldChar w:fldCharType="begin"/>
      </w:r>
      <w:r w:rsidR="00040A08">
        <w:rPr>
          <w:rFonts w:ascii="Microsoft Sans Serif" w:hAnsi="Microsoft Sans Serif" w:cs="Microsoft Sans Serif"/>
          <w:sz w:val="20"/>
          <w:szCs w:val="20"/>
        </w:rPr>
        <w:instrText xml:space="preserve"> ADDIN EN.CITE &lt;EndNote&gt;&lt;Cite&gt;&lt;Author&gt;Kruskal&lt;/Author&gt;&lt;Year&gt;1952&lt;/Year&gt;&lt;RecNum&gt;1321&lt;/RecNum&gt;&lt;DisplayText&gt;(Kruskal and Wallis 1952)&lt;/DisplayText&gt;&lt;record&gt;&lt;rec-number&gt;1321&lt;/rec-number&gt;&lt;foreign-keys&gt;&lt;key app="EN" db-id="x2xav2dzzvp5ddez223vpv22tw9d5dx2dxxv" timestamp="1607604437"&gt;1321&lt;/key&gt;&lt;/foreign-keys&gt;&lt;ref-type name="Journal Article"&gt;17&lt;/ref-type&gt;&lt;contributors&gt;&lt;authors&gt;&lt;author&gt;Kruskal, William H.&lt;/author&gt;&lt;author&gt;Wallis, W. Allen&lt;/author&gt;&lt;/authors&gt;&lt;/contributors&gt;&lt;titles&gt;&lt;title&gt;Use of Ranks in One-Criterion Variance Analysis&lt;/title&gt;&lt;secondary-title&gt;Journal of the American Statistical Association&lt;/secondary-title&gt;&lt;/titles&gt;&lt;periodical&gt;&lt;full-title&gt;Journal of the American Statistical Association&lt;/full-title&gt;&lt;/periodical&gt;&lt;pages&gt;583-621&lt;/pages&gt;&lt;volume&gt;47&lt;/volume&gt;&lt;number&gt;260&lt;/number&gt;&lt;dates&gt;&lt;year&gt;1952&lt;/year&gt;&lt;/dates&gt;&lt;publisher&gt;[American Statistical Association, Taylor &amp;amp; Francis, Ltd.]&lt;/publisher&gt;&lt;isbn&gt;01621459&lt;/isbn&gt;&lt;urls&gt;&lt;related-urls&gt;&lt;url&gt;http://www.jstor.org/stable/2280779&lt;/url&gt;&lt;/related-urls&gt;&lt;/urls&gt;&lt;custom1&gt;Full publication date: Dec., 1952&lt;/custom1&gt;&lt;electronic-resource-num&gt;10.2307/2280779&lt;/electronic-resource-num&gt;&lt;remote-database-name&gt;JSTOR&lt;/remote-database-name&gt;&lt;access-date&gt;2020/12/10/&lt;/access-date&gt;&lt;/record&gt;&lt;/Cite&gt;&lt;/EndNote&gt;</w:instrText>
      </w:r>
      <w:r w:rsidR="00040A08">
        <w:rPr>
          <w:rFonts w:ascii="Microsoft Sans Serif" w:hAnsi="Microsoft Sans Serif" w:cs="Microsoft Sans Serif"/>
          <w:sz w:val="20"/>
          <w:szCs w:val="20"/>
        </w:rPr>
        <w:fldChar w:fldCharType="separate"/>
      </w:r>
      <w:r w:rsidR="00040A08">
        <w:rPr>
          <w:rFonts w:ascii="Microsoft Sans Serif" w:hAnsi="Microsoft Sans Serif" w:cs="Microsoft Sans Serif"/>
          <w:noProof/>
          <w:sz w:val="20"/>
          <w:szCs w:val="20"/>
        </w:rPr>
        <w:t>(Kruskal and Wallis 1952)</w:t>
      </w:r>
      <w:r w:rsidR="00040A08">
        <w:rPr>
          <w:rFonts w:ascii="Microsoft Sans Serif" w:hAnsi="Microsoft Sans Serif" w:cs="Microsoft Sans Serif"/>
          <w:sz w:val="20"/>
          <w:szCs w:val="20"/>
        </w:rPr>
        <w:fldChar w:fldCharType="end"/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test.</w:t>
      </w:r>
    </w:p>
    <w:p w14:paraId="55B2BF9C" w14:textId="77777777" w:rsidR="008D781A" w:rsidRDefault="008D781A" w:rsidP="00040A08">
      <w:pPr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br w:type="page"/>
      </w:r>
    </w:p>
    <w:p w14:paraId="5B80397A" w14:textId="6536EFD1" w:rsidR="00A87667" w:rsidRPr="00A87667" w:rsidRDefault="00A87667" w:rsidP="00A87667">
      <w:pPr>
        <w:rPr>
          <w:rFonts w:ascii="Times New Roman" w:eastAsia="Times New Roman" w:hAnsi="Times New Roman" w:cs="Times New Roman"/>
        </w:rPr>
      </w:pPr>
      <w:r w:rsidRPr="00A87667">
        <w:rPr>
          <w:rFonts w:ascii="Times New Roman" w:eastAsia="Times New Roman" w:hAnsi="Times New Roman" w:cs="Times New Roman"/>
        </w:rPr>
        <w:lastRenderedPageBreak/>
        <w:fldChar w:fldCharType="begin"/>
      </w:r>
      <w:r w:rsidRPr="00A87667">
        <w:rPr>
          <w:rFonts w:ascii="Times New Roman" w:eastAsia="Times New Roman" w:hAnsi="Times New Roman" w:cs="Times New Roman"/>
        </w:rPr>
        <w:instrText xml:space="preserve"> INCLUDEPICTURE "/var/folders/lw/rgln_s1j6f11mynx2s3dwsb40000gp/T/com.microsoft.Word/WebArchiveCopyPasteTempFiles/FIGURE_REF_PERFORMANCE.jpg" \* MERGEFORMATINET </w:instrText>
      </w:r>
      <w:r w:rsidRPr="00A87667">
        <w:rPr>
          <w:rFonts w:ascii="Times New Roman" w:eastAsia="Times New Roman" w:hAnsi="Times New Roman" w:cs="Times New Roman"/>
        </w:rPr>
        <w:fldChar w:fldCharType="separate"/>
      </w:r>
      <w:r w:rsidRPr="00A87667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41EC533" wp14:editId="5534CA04">
            <wp:extent cx="5943600" cy="4381500"/>
            <wp:effectExtent l="0" t="0" r="0" b="0"/>
            <wp:docPr id="11" name="Picture 1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7667">
        <w:rPr>
          <w:rFonts w:ascii="Times New Roman" w:eastAsia="Times New Roman" w:hAnsi="Times New Roman" w:cs="Times New Roman"/>
        </w:rPr>
        <w:fldChar w:fldCharType="end"/>
      </w:r>
    </w:p>
    <w:p w14:paraId="693ED02A" w14:textId="6B3C3226" w:rsidR="00EE2634" w:rsidRPr="00D42EA7" w:rsidRDefault="00EE2634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29C4D3D2" w14:textId="08AB3B13" w:rsidR="00EE2634" w:rsidRPr="00E461F5" w:rsidRDefault="00EE2634" w:rsidP="00040A08">
      <w:pP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</w:pP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ure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S</w:t>
      </w:r>
      <w:r w:rsidR="00D42EA7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7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The LI Detector has high specificity and sensitivity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regardless of the strain used for empirical testing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. A. </w:t>
      </w:r>
      <w:r w:rsidR="00F65D82"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Average specificity (solid colored line) and standard error (gray region) at various </w:t>
      </w:r>
      <w:r w:rsidR="00F65D82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empirical </w:t>
      </w:r>
      <w:r w:rsidR="00F65D82"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p-value cut-offs </w:t>
      </w:r>
      <w:r w:rsidR="00F65D82">
        <w:rPr>
          <w:rFonts w:ascii="Microsoft Sans Serif" w:hAnsi="Microsoft Sans Serif" w:cs="Microsoft Sans Serif"/>
          <w:color w:val="000000" w:themeColor="text1"/>
          <w:sz w:val="20"/>
          <w:szCs w:val="20"/>
        </w:rPr>
        <w:t>when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empirical testing done using Tester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(blue)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and Reference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(green). Specificity (y-axis) was estimated using the condition negative dataset as the proportion of mutants classified as neutral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. 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B.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>LID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phenotype classification results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when empirical testing done using Tester. The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virtual plates with bimodal distribution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were used for this analysis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. Sensitivity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is calculated as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the proportion of mutants correctly identified as significantly different (beneficial or deleterious) than the reference for each fitness effect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value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>. The dotted red line indicates a 5% fitness effect.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A 5%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>false positive rate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was maintained while generating these results.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C.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LID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phenotype classification results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when empirical testing done using Reference, 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>f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or</w:t>
      </w:r>
      <w:r w:rsidRPr="007452EF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the same data as </w:t>
      </w:r>
      <w:r w:rsidRPr="007452EF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B</w:t>
      </w:r>
      <w:r w:rsidR="000B11C2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 w:rsidR="000B11C2" w:rsidRPr="00E461F5">
        <w:rPr>
          <w:rFonts w:ascii="Microsoft Sans Serif" w:hAnsi="Microsoft Sans Serif" w:cs="Microsoft Sans Serif"/>
          <w:color w:val="000000" w:themeColor="text1"/>
          <w:sz w:val="20"/>
          <w:szCs w:val="20"/>
        </w:rPr>
        <w:t>(this graph is identical as the one shown in</w:t>
      </w:r>
      <w:r w:rsidR="000B11C2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="000B11C2" w:rsidRPr="000B11C2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Figure </w:t>
      </w:r>
      <w:r w:rsidR="000B11C2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3B</w:t>
      </w:r>
      <w:r w:rsidR="000B11C2" w:rsidRPr="00E461F5">
        <w:rPr>
          <w:rFonts w:ascii="Microsoft Sans Serif" w:hAnsi="Microsoft Sans Serif" w:cs="Microsoft Sans Serif"/>
          <w:color w:val="000000" w:themeColor="text1"/>
          <w:sz w:val="20"/>
          <w:szCs w:val="20"/>
        </w:rPr>
        <w:t>)</w:t>
      </w:r>
      <w:r w:rsidRPr="00E461F5">
        <w:rPr>
          <w:rFonts w:ascii="Microsoft Sans Serif" w:hAnsi="Microsoft Sans Serif" w:cs="Microsoft Sans Serif"/>
          <w:color w:val="000000" w:themeColor="text1"/>
          <w:sz w:val="20"/>
          <w:szCs w:val="20"/>
        </w:rPr>
        <w:t>.</w:t>
      </w:r>
    </w:p>
    <w:p w14:paraId="5BB689A5" w14:textId="77777777" w:rsidR="00D42EA7" w:rsidRDefault="00D42EA7" w:rsidP="00D42EA7">
      <w:pPr>
        <w:rPr>
          <w:rFonts w:ascii="Arial" w:hAnsi="Arial" w:cs="Arial"/>
          <w:color w:val="1F3864" w:themeColor="accent1" w:themeShade="80"/>
        </w:rPr>
      </w:pPr>
      <w:r>
        <w:rPr>
          <w:rFonts w:ascii="Arial" w:hAnsi="Arial" w:cs="Arial"/>
          <w:noProof/>
          <w:color w:val="4472C4" w:themeColor="accent1"/>
        </w:rPr>
        <w:lastRenderedPageBreak/>
        <w:drawing>
          <wp:inline distT="0" distB="0" distL="0" distR="0" wp14:anchorId="0AF1019D" wp14:editId="5AD7903E">
            <wp:extent cx="5943600" cy="8074890"/>
            <wp:effectExtent l="0" t="0" r="0" b="2540"/>
            <wp:docPr id="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7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B6BBE" w14:textId="225AA11C" w:rsidR="00D42EA7" w:rsidRDefault="00D42EA7" w:rsidP="00D42EA7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lastRenderedPageBreak/>
        <w:t>Fig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ure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S8</w:t>
      </w:r>
      <w:r w:rsidRPr="008225E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Performance results from alternate statistical testing of the virtual plates with random colony size distribution.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LI Detector (LID) and MATLAB Colony Analyzer Toolkit (MCAT)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instrText xml:space="preserve"> ADDIN EN.CITE </w:instrTex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begin">
          <w:fldData xml:space="preserve">PEVuZE5vdGU+PENpdGU+PEF1dGhvcj5CZWFuPC9BdXRob3I+PFllYXI+MjAxNDwvWWVhcj48UmVj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</w:fldData>
        </w:fldChar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instrText xml:space="preserve"> ADDIN EN.CITE.DATA </w:instrTex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end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separate"/>
      </w:r>
      <w:r>
        <w:rPr>
          <w:rFonts w:ascii="Microsoft Sans Serif" w:hAnsi="Microsoft Sans Serif" w:cs="Microsoft Sans Serif"/>
          <w:noProof/>
          <w:color w:val="000000" w:themeColor="text1"/>
          <w:sz w:val="20"/>
          <w:szCs w:val="20"/>
        </w:rPr>
        <w:t>(Bean et al. 2014)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end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were used for spatial bias correction of the virtual plates with random colon size distribution (</w:t>
      </w:r>
      <w:r w:rsidRPr="00040A08">
        <w:rPr>
          <w:rFonts w:ascii="Microsoft Sans Serif" w:hAnsi="Microsoft Sans Serif" w:cs="Microsoft Sans Serif"/>
          <w:color w:val="000000" w:themeColor="text1"/>
          <w:sz w:val="20"/>
          <w:szCs w:val="20"/>
        </w:rPr>
        <w:t>see Materials and Methods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). Fitness results were tested using an empirical test (</w:t>
      </w:r>
      <w:r w:rsidRPr="00040A08">
        <w:rPr>
          <w:rFonts w:ascii="Microsoft Sans Serif" w:hAnsi="Microsoft Sans Serif" w:cs="Microsoft Sans Serif"/>
          <w:color w:val="000000" w:themeColor="text1"/>
          <w:sz w:val="20"/>
          <w:szCs w:val="20"/>
        </w:rPr>
        <w:t>see Materials and Methods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) and the non-parametric Wilcoxon </w:t>
      </w:r>
      <w:proofErr w:type="spellStart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ranksum</w:t>
      </w:r>
      <w:proofErr w:type="spellEnd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Test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begin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instrText xml:space="preserve"> ADDIN EN.CITE &lt;EndNote&gt;&lt;Cite&gt;&lt;Author&gt;Wilcoxon&lt;/Author&gt;&lt;Year&gt;1946&lt;/Year&gt;&lt;RecNum&gt;1223&lt;/RecNum&gt;&lt;DisplayText&gt;(Mann and Whitney 1947; Wilcoxon 1946)&lt;/DisplayText&gt;&lt;record&gt;&lt;rec-number&gt;1223&lt;/rec-number&gt;&lt;foreign-keys&gt;&lt;key app="EN" db-id="x2xav2dzzvp5ddez223vpv22tw9d5dx2dxxv" timestamp="1607095789"&gt;1223&lt;/key&gt;&lt;/foreign-keys&gt;&lt;ref-type name="Journal Article"&gt;17&lt;/ref-type&gt;&lt;contributors&gt;&lt;authors&gt;&lt;author&gt;Wilcoxon, F.&lt;/author&gt;&lt;/authors&gt;&lt;/contributors&gt;&lt;titles&gt;&lt;title&gt;Individual comparisons of grouped data by ranking methods&lt;/title&gt;&lt;secondary-title&gt;J Econ Entomol&lt;/secondary-title&gt;&lt;/titles&gt;&lt;periodical&gt;&lt;full-title&gt;J Econ Entomol&lt;/full-title&gt;&lt;/periodical&gt;&lt;pages&gt;269&lt;/pages&gt;&lt;volume&gt;39&lt;/volume&gt;&lt;edition&gt;1946/04/01&lt;/edition&gt;&lt;keywords&gt;&lt;keyword&gt;Animals&lt;/keyword&gt;&lt;keyword&gt;*Biometry&lt;/keyword&gt;&lt;keyword&gt;*Statistics as Topic&lt;/keyword&gt;&lt;keyword&gt;*statistics&lt;/keyword&gt;&lt;/keywords&gt;&lt;dates&gt;&lt;year&gt;1946&lt;/year&gt;&lt;pub-dates&gt;&lt;date&gt;Apr&lt;/date&gt;&lt;/pub-dates&gt;&lt;/dates&gt;&lt;isbn&gt;0022-0493 (Print)&amp;#xD;0022-0493 (Linking)&lt;/isbn&gt;&lt;accession-num&gt;20983181&lt;/accession-num&gt;&lt;urls&gt;&lt;related-urls&gt;&lt;url&gt;https://www.ncbi.nlm.nih.gov/pubmed/20983181&lt;/url&gt;&lt;/related-urls&gt;&lt;/urls&gt;&lt;electronic-resource-num&gt;10.1093/jee/39.2.269&lt;/electronic-resource-num&gt;&lt;/record&gt;&lt;/Cite&gt;&lt;Cite&gt;&lt;Author&gt;Mann&lt;/Author&gt;&lt;Year&gt;1947&lt;/Year&gt;&lt;RecNum&gt;1227&lt;/RecNum&gt;&lt;record&gt;&lt;rec-number&gt;1227&lt;/rec-number&gt;&lt;foreign-keys&gt;&lt;key app="EN" db-id="x2xav2dzzvp5ddez223vpv22tw9d5dx2dxxv" timestamp="1607096145"&gt;1227&lt;/key&gt;&lt;/foreign-keys&gt;&lt;ref-type name="Journal Article"&gt;17&lt;/ref-type&gt;&lt;contributors&gt;&lt;authors&gt;&lt;author&gt;Mann, H. B.&lt;/author&gt;&lt;author&gt;Whitney, D. R.&lt;/author&gt;&lt;/authors&gt;&lt;/contributors&gt;&lt;titles&gt;&lt;title&gt;On a test of whether one of two random variables is stochastically larger than the other&lt;/title&gt;&lt;secondary-title&gt;The Annals of Mathematical Statistics&lt;/secondary-title&gt;&lt;/titles&gt;&lt;periodical&gt;&lt;full-title&gt;The Annals of Mathematical Statistics&lt;/full-title&gt;&lt;/periodical&gt;&lt;pages&gt;50-60&lt;/pages&gt;&lt;volume&gt;18&lt;/volume&gt;&lt;number&gt;1&lt;/number&gt;&lt;dates&gt;&lt;year&gt;1947&lt;/year&gt;&lt;/dates&gt;&lt;urls&gt;&lt;/urls&gt;&lt;/record&gt;&lt;/Cite&gt;&lt;/EndNote&gt;</w:instrTex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separate"/>
      </w:r>
      <w:r>
        <w:rPr>
          <w:rFonts w:ascii="Microsoft Sans Serif" w:hAnsi="Microsoft Sans Serif" w:cs="Microsoft Sans Serif"/>
          <w:noProof/>
          <w:color w:val="000000" w:themeColor="text1"/>
          <w:sz w:val="20"/>
          <w:szCs w:val="20"/>
        </w:rPr>
        <w:t>(Mann and Whitney 1947; Wilcoxon 1946)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end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with </w:t>
      </w:r>
      <w:proofErr w:type="spellStart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Storey’s</w:t>
      </w:r>
      <w:proofErr w:type="spellEnd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multiple hypothesis correction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begin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instrText xml:space="preserve"> ADDIN EN.CITE &lt;EndNote&gt;&lt;Cite&gt;&lt;Author&gt;Storey&lt;/Author&gt;&lt;Year&gt;2002&lt;/Year&gt;&lt;RecNum&gt;1316&lt;/RecNum&gt;&lt;DisplayText&gt;(Storey 2002)&lt;/DisplayText&gt;&lt;record&gt;&lt;rec-number&gt;1316&lt;/rec-number&gt;&lt;foreign-keys&gt;&lt;key app="EN" db-id="x2xav2dzzvp5ddez223vpv22tw9d5dx2dxxv" timestamp="1607134726"&gt;1316&lt;/key&gt;&lt;/foreign-keys&gt;&lt;ref-type name="Journal Article"&gt;17&lt;/ref-type&gt;&lt;contributors&gt;&lt;authors&gt;&lt;author&gt;Storey, J. D.&lt;/author&gt;&lt;/authors&gt;&lt;/contributors&gt;&lt;titles&gt;&lt;title&gt;A direct approach to false discovery rates.&lt;/title&gt;&lt;secondary-title&gt;J. R. Stat. Soc. B&lt;/secondary-title&gt;&lt;/titles&gt;&lt;periodical&gt;&lt;full-title&gt;J. R. Stat. Soc. B&lt;/full-title&gt;&lt;/periodical&gt;&lt;pages&gt;479-498&lt;/pages&gt;&lt;volume&gt;64&lt;/volume&gt;&lt;dates&gt;&lt;year&gt;2002&lt;/year&gt;&lt;/dates&gt;&lt;urls&gt;&lt;/urls&gt;&lt;/record&gt;&lt;/Cite&gt;&lt;/EndNote&gt;</w:instrTex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separate"/>
      </w:r>
      <w:r>
        <w:rPr>
          <w:rFonts w:ascii="Microsoft Sans Serif" w:hAnsi="Microsoft Sans Serif" w:cs="Microsoft Sans Serif"/>
          <w:noProof/>
          <w:color w:val="000000" w:themeColor="text1"/>
          <w:sz w:val="20"/>
          <w:szCs w:val="20"/>
        </w:rPr>
        <w:t>(Storey 2002)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end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. </w:t>
      </w:r>
      <w:r w:rsidRPr="0091659D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A.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Pie chart of the underlying truth of the dataset, and </w:t>
      </w:r>
      <w:r w:rsidRPr="0091659D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B.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results from the use of LID and MCAT in combination with the two modes of statistical testing. </w:t>
      </w:r>
      <w:r w:rsidRPr="0091659D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C.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Overall results show that the use of empirical testing has lower sensitivity but higher specificity than with the use of Wilcoxon </w:t>
      </w:r>
      <w:proofErr w:type="spellStart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ranksum</w:t>
      </w:r>
      <w:proofErr w:type="spellEnd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test</w:t>
      </w:r>
      <w:r w:rsidR="003D1556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="003D1556"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begin"/>
      </w:r>
      <w:r w:rsidR="003D1556">
        <w:rPr>
          <w:rFonts w:ascii="Microsoft Sans Serif" w:hAnsi="Microsoft Sans Serif" w:cs="Microsoft Sans Serif"/>
          <w:color w:val="000000" w:themeColor="text1"/>
          <w:sz w:val="20"/>
          <w:szCs w:val="20"/>
        </w:rPr>
        <w:instrText xml:space="preserve"> ADDIN EN.CITE &lt;EndNote&gt;&lt;Cite&gt;&lt;Author&gt;Wilcoxon&lt;/Author&gt;&lt;Year&gt;1946&lt;/Year&gt;&lt;RecNum&gt;1223&lt;/RecNum&gt;&lt;DisplayText&gt;(Mann and Whitney 1947; Wilcoxon 1946)&lt;/DisplayText&gt;&lt;record&gt;&lt;rec-number&gt;1223&lt;/rec-number&gt;&lt;foreign-keys&gt;&lt;key app="EN" db-id="x2xav2dzzvp5ddez223vpv22tw9d5dx2dxxv" timestamp="1607095789"&gt;1223&lt;/key&gt;&lt;/foreign-keys&gt;&lt;ref-type name="Journal Article"&gt;17&lt;/ref-type&gt;&lt;contributors&gt;&lt;authors&gt;&lt;author&gt;Wilcoxon, F.&lt;/author&gt;&lt;/authors&gt;&lt;/contributors&gt;&lt;titles&gt;&lt;title&gt;Individual comparisons of grouped data by ranking methods&lt;/title&gt;&lt;secondary-title&gt;J Econ Entomol&lt;/secondary-title&gt;&lt;/titles&gt;&lt;periodical&gt;&lt;full-title&gt;J Econ Entomol&lt;/full-title&gt;&lt;/periodical&gt;&lt;pages&gt;269&lt;/pages&gt;&lt;volume&gt;39&lt;/volume&gt;&lt;edition&gt;1946/04/01&lt;/edition&gt;&lt;keywords&gt;&lt;keyword&gt;Animals&lt;/keyword&gt;&lt;keyword&gt;*Biometry&lt;/keyword&gt;&lt;keyword&gt;*Statistics as Topic&lt;/keyword&gt;&lt;keyword&gt;*statistics&lt;/keyword&gt;&lt;/keywords&gt;&lt;dates&gt;&lt;year&gt;1946&lt;/year&gt;&lt;pub-dates&gt;&lt;date&gt;Apr&lt;/date&gt;&lt;/pub-dates&gt;&lt;/dates&gt;&lt;isbn&gt;0022-0493 (Print)&amp;#xD;0022-0493 (Linking)&lt;/isbn&gt;&lt;accession-num&gt;20983181&lt;/accession-num&gt;&lt;urls&gt;&lt;related-urls&gt;&lt;url&gt;https://www.ncbi.nlm.nih.gov/pubmed/20983181&lt;/url&gt;&lt;/related-urls&gt;&lt;/urls&gt;&lt;electronic-resource-num&gt;10.1093/jee/39.2.269&lt;/electronic-resource-num&gt;&lt;/record&gt;&lt;/Cite&gt;&lt;Cite&gt;&lt;Author&gt;Mann&lt;/Author&gt;&lt;Year&gt;1947&lt;/Year&gt;&lt;RecNum&gt;1227&lt;/RecNum&gt;&lt;record&gt;&lt;rec-number&gt;1227&lt;/rec-number&gt;&lt;foreign-keys&gt;&lt;key app="EN" db-id="x2xav2dzzvp5ddez223vpv22tw9d5dx2dxxv" timestamp="1607096145"&gt;1227&lt;/key&gt;&lt;/foreign-keys&gt;&lt;ref-type name="Journal Article"&gt;17&lt;/ref-type&gt;&lt;contributors&gt;&lt;authors&gt;&lt;author&gt;Mann, H. B.&lt;/author&gt;&lt;author&gt;Whitney, D. R.&lt;/author&gt;&lt;/authors&gt;&lt;/contributors&gt;&lt;titles&gt;&lt;title&gt;On a test of whether one of two random variables is stochastically larger than the other&lt;/title&gt;&lt;secondary-title&gt;The Annals of Mathematical Statistics&lt;/secondary-title&gt;&lt;/titles&gt;&lt;periodical&gt;&lt;full-title&gt;The Annals of Mathematical Statistics&lt;/full-title&gt;&lt;/periodical&gt;&lt;pages&gt;50-60&lt;/pages&gt;&lt;volume&gt;18&lt;/volume&gt;&lt;number&gt;1&lt;/number&gt;&lt;dates&gt;&lt;year&gt;1947&lt;/year&gt;&lt;/dates&gt;&lt;urls&gt;&lt;/urls&gt;&lt;/record&gt;&lt;/Cite&gt;&lt;/EndNote&gt;</w:instrText>
      </w:r>
      <w:r w:rsidR="003D1556"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separate"/>
      </w:r>
      <w:r w:rsidR="003D1556">
        <w:rPr>
          <w:rFonts w:ascii="Microsoft Sans Serif" w:hAnsi="Microsoft Sans Serif" w:cs="Microsoft Sans Serif"/>
          <w:noProof/>
          <w:color w:val="000000" w:themeColor="text1"/>
          <w:sz w:val="20"/>
          <w:szCs w:val="20"/>
        </w:rPr>
        <w:t>(Mann and Whitney 1947; Wilcoxon 1946)</w:t>
      </w:r>
      <w:r w:rsidR="003D1556">
        <w:rPr>
          <w:rFonts w:ascii="Microsoft Sans Serif" w:hAnsi="Microsoft Sans Serif" w:cs="Microsoft Sans Serif"/>
          <w:color w:val="000000" w:themeColor="text1"/>
          <w:sz w:val="20"/>
          <w:szCs w:val="20"/>
        </w:rPr>
        <w:fldChar w:fldCharType="end"/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. LID had more than 95% sensitivity and specificity, regardless of the statistical test used.</w:t>
      </w:r>
    </w:p>
    <w:p w14:paraId="5DA3082B" w14:textId="77777777" w:rsidR="008D781A" w:rsidRDefault="008D781A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6A294D35" w14:textId="77777777" w:rsidR="008D781A" w:rsidRPr="007862CA" w:rsidRDefault="008D781A" w:rsidP="00040A08">
      <w:pPr>
        <w:spacing w:line="276" w:lineRule="auto"/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32FB45ED" w14:textId="77777777" w:rsidR="006449CE" w:rsidRPr="008422A3" w:rsidRDefault="006449CE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6E58060B" w14:textId="77777777" w:rsidR="006449CE" w:rsidRPr="007862CA" w:rsidRDefault="006449CE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</w:p>
    <w:p w14:paraId="69EEF91C" w14:textId="77777777" w:rsidR="005C3EA3" w:rsidRPr="00D46121" w:rsidRDefault="005C3EA3" w:rsidP="00040A08">
      <w:pPr>
        <w:spacing w:line="480" w:lineRule="auto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FD785BC" w14:textId="77777777" w:rsidR="005C3EA3" w:rsidRPr="00D46121" w:rsidRDefault="005C3EA3" w:rsidP="00040A08">
      <w:pPr>
        <w:spacing w:line="480" w:lineRule="auto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A32399D" w14:textId="77777777" w:rsidR="005C3EA3" w:rsidRPr="00D46121" w:rsidRDefault="005C3EA3" w:rsidP="00040A08">
      <w:pPr>
        <w:spacing w:line="480" w:lineRule="auto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3D91E57" w14:textId="77777777" w:rsidR="005C3EA3" w:rsidRPr="00366AA4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45D83D01" wp14:editId="13A91ABF">
            <wp:extent cx="5486400" cy="7343522"/>
            <wp:effectExtent l="0" t="0" r="0" b="0"/>
            <wp:docPr id="3" name="Picture 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ell pho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343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DD56F" w14:textId="77777777" w:rsidR="005C3EA3" w:rsidRPr="00D46121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</w:p>
    <w:p w14:paraId="4FA1D765" w14:textId="699DA728" w:rsidR="005C3EA3" w:rsidRPr="007862CA" w:rsidRDefault="005C3EA3" w:rsidP="00040A08">
      <w:pPr>
        <w:spacing w:line="276" w:lineRule="auto"/>
        <w:rPr>
          <w:rFonts w:ascii="Microsoft Sans Serif" w:hAnsi="Microsoft Sans Serif" w:cs="Microsoft Sans Serif"/>
          <w:b/>
          <w:bCs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 w:rsidR="002902FD">
        <w:rPr>
          <w:rFonts w:ascii="Microsoft Sans Serif" w:hAnsi="Microsoft Sans Serif" w:cs="Microsoft Sans Serif"/>
          <w:b/>
          <w:bCs/>
          <w:sz w:val="20"/>
          <w:szCs w:val="20"/>
        </w:rPr>
        <w:t>9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. Workflow of the methodology adopted for analyzing LI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Detector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’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s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performance.</w:t>
      </w:r>
    </w:p>
    <w:p w14:paraId="0ED10FE4" w14:textId="77777777" w:rsidR="005C3EA3" w:rsidRPr="00D46121" w:rsidRDefault="005C3EA3" w:rsidP="00040A08">
      <w:pPr>
        <w:spacing w:line="480" w:lineRule="auto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55B5B46" w14:textId="37E1A393" w:rsidR="005C3EA3" w:rsidRDefault="005C3EA3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 w:rsidRPr="00366AA4">
        <w:rPr>
          <w:rFonts w:ascii="Arial" w:hAnsi="Arial" w:cs="Arial"/>
          <w:b/>
          <w:bCs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5973BA85" wp14:editId="47C775CE">
            <wp:extent cx="5943600" cy="6882645"/>
            <wp:effectExtent l="0" t="0" r="0" b="1270"/>
            <wp:docPr id="5" name="Picture 5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Shap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Figure S</w:t>
      </w:r>
      <w:r w:rsidR="002902FD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10</w:t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. Colony size distributions of all virtual plates with a bimodal distribution.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Composite density plot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with each panel representing an individual plate. In each panel,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the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colony sizes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of the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reference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population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are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represented by the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grey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density plot and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that of the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mutant by the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purple density plot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.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The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reference colony time point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(</w:t>
      </w:r>
      <w:proofErr w:type="spellStart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t</w:t>
      </w:r>
      <w:r w:rsidRPr="00DD4A4D">
        <w:rPr>
          <w:rFonts w:ascii="Microsoft Sans Serif" w:hAnsi="Microsoft Sans Serif" w:cs="Microsoft Sans Serif"/>
          <w:color w:val="000000" w:themeColor="text1"/>
          <w:sz w:val="20"/>
          <w:szCs w:val="20"/>
          <w:vertAlign w:val="subscript"/>
        </w:rPr>
        <w:t>R</w:t>
      </w:r>
      <w:proofErr w:type="spellEnd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)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increases as we go from the top to bottom, and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the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mutant colony time point 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(</w:t>
      </w:r>
      <w:proofErr w:type="spellStart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>t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  <w:vertAlign w:val="subscript"/>
        </w:rPr>
        <w:t>M</w:t>
      </w:r>
      <w:proofErr w:type="spellEnd"/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)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increases from left to right. The diagonal represents the real plate data where both the references and mutants are at the same time point – condition negative dataset. Everything to the left of the diagonal is condition positive deleterious data, and everything to the left is condition positive beneficial. </w:t>
      </w:r>
      <w:r w:rsidRPr="00A360F6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Figure 2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C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is the fitness effect matrix of this composite plot.</w:t>
      </w:r>
    </w:p>
    <w:p w14:paraId="664D0B47" w14:textId="34B68A92" w:rsidR="002902FD" w:rsidRDefault="002902FD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3926F1BC" w14:textId="77777777" w:rsidR="002902FD" w:rsidRPr="00366AA4" w:rsidRDefault="002902FD" w:rsidP="00040A08">
      <w:pPr>
        <w:spacing w:line="480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7B91B796" wp14:editId="203CEB95">
            <wp:extent cx="5943593" cy="1867039"/>
            <wp:effectExtent l="0" t="0" r="635" b="0"/>
            <wp:docPr id="100" name="Picture 100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 descr="A picture containing graphical user interfac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593" cy="186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4807B" w14:textId="49C20864" w:rsidR="002902FD" w:rsidRPr="00EE5B6C" w:rsidRDefault="002902FD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Figure S1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1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Making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 xml:space="preserve">of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a virtual plate with a bimodal distribution.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The time-lapse images of the final screen plates can be used to create virtual plates where reference and mutant colony sizes come from different time points. The above three panels are a zoom-in version of the same region of a 6144-density plate. Colony type is represented by colors, and colony size by point size.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A.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Shows the colony layout and colony size estimations at 2.9 hours,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B.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shows the same region at 11.0 hours, and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C.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is an example of the virtual plate that can be created when the reference colony size data is taken from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B.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and mutant colony sizes from </w:t>
      </w:r>
      <w:r w:rsidRPr="00EE5B6C">
        <w:rPr>
          <w:rFonts w:ascii="Microsoft Sans Serif" w:hAnsi="Microsoft Sans Serif" w:cs="Microsoft Sans Serif"/>
          <w:b/>
          <w:bCs/>
          <w:sz w:val="20"/>
          <w:szCs w:val="20"/>
        </w:rPr>
        <w:t>A.</w:t>
      </w:r>
      <w:r w:rsidRPr="00EE5B6C">
        <w:rPr>
          <w:rFonts w:ascii="Microsoft Sans Serif" w:hAnsi="Microsoft Sans Serif" w:cs="Microsoft Sans Serif"/>
          <w:sz w:val="20"/>
          <w:szCs w:val="20"/>
        </w:rPr>
        <w:t xml:space="preserve"> This plate still maintains the overall topological relationships of the colonies. In this example, all mutant colonies on the virtual plate are true positive deleterious by design.</w:t>
      </w:r>
    </w:p>
    <w:p w14:paraId="59EECC78" w14:textId="77777777" w:rsidR="002902FD" w:rsidRPr="007862CA" w:rsidRDefault="002902FD" w:rsidP="00040A08">
      <w:pP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</w:pPr>
    </w:p>
    <w:p w14:paraId="1CC93DCF" w14:textId="77777777" w:rsidR="005C3EA3" w:rsidRPr="00D46121" w:rsidRDefault="005C3EA3" w:rsidP="00040A08">
      <w:pPr>
        <w:spacing w:line="480" w:lineRule="auto"/>
        <w:rPr>
          <w:rFonts w:ascii="Arial" w:hAnsi="Arial" w:cs="Arial"/>
          <w:b/>
          <w:bCs/>
          <w:sz w:val="22"/>
          <w:szCs w:val="22"/>
        </w:rPr>
      </w:pPr>
    </w:p>
    <w:p w14:paraId="4FE7F587" w14:textId="77777777" w:rsidR="005C3EA3" w:rsidRPr="00D46121" w:rsidRDefault="005C3EA3" w:rsidP="00040A08">
      <w:pPr>
        <w:spacing w:line="480" w:lineRule="auto"/>
        <w:rPr>
          <w:rFonts w:ascii="Arial" w:hAnsi="Arial" w:cs="Arial"/>
          <w:sz w:val="20"/>
          <w:szCs w:val="20"/>
        </w:rPr>
      </w:pPr>
    </w:p>
    <w:p w14:paraId="10C324A5" w14:textId="77777777" w:rsidR="005C3EA3" w:rsidRPr="00D46121" w:rsidRDefault="005C3EA3" w:rsidP="00040A08">
      <w:pPr>
        <w:spacing w:line="480" w:lineRule="auto"/>
        <w:rPr>
          <w:rFonts w:ascii="Arial" w:hAnsi="Arial" w:cs="Arial"/>
          <w:sz w:val="20"/>
          <w:szCs w:val="20"/>
        </w:rPr>
      </w:pPr>
    </w:p>
    <w:p w14:paraId="2961974C" w14:textId="77777777" w:rsidR="005C3EA3" w:rsidRPr="00366AA4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6B78D933" wp14:editId="16317084">
            <wp:extent cx="5943599" cy="5004554"/>
            <wp:effectExtent l="0" t="0" r="635" b="0"/>
            <wp:docPr id="6" name="Picture 6" descr="A picture containing text, c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, cag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500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611C8" w14:textId="2DD66717" w:rsidR="002902FD" w:rsidRDefault="005C3EA3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 w:rsidR="002902FD">
        <w:rPr>
          <w:rFonts w:ascii="Microsoft Sans Serif" w:hAnsi="Microsoft Sans Serif" w:cs="Microsoft Sans Serif"/>
          <w:b/>
          <w:bCs/>
          <w:sz w:val="20"/>
          <w:szCs w:val="20"/>
        </w:rPr>
        <w:t>12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Sensitivity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 xml:space="preserve">and 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different 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strategies for fitness estimation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Phenotype classification results from the virtual plates with bimodal distributions at a false positive rate of 5% are arranged according to increasing fitness effects. The dotted red line indicates a 5% fitness effect. Individual panels represent distinct </w:t>
      </w:r>
      <w:r w:rsidRPr="00027725">
        <w:rPr>
          <w:rFonts w:ascii="Microsoft Sans Serif" w:hAnsi="Microsoft Sans Serif" w:cs="Microsoft Sans Serif"/>
          <w:sz w:val="20"/>
          <w:szCs w:val="20"/>
        </w:rPr>
        <w:t>strategies for fitness estimation</w:t>
      </w:r>
      <w:r w:rsidRPr="007862CA" w:rsidDel="00F40AA9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015E35">
        <w:rPr>
          <w:rFonts w:ascii="Microsoft Sans Serif" w:hAnsi="Microsoft Sans Serif" w:cs="Microsoft Sans Serif"/>
          <w:color w:val="000000" w:themeColor="text1"/>
          <w:sz w:val="20"/>
          <w:szCs w:val="20"/>
        </w:rPr>
        <w:t>(</w:t>
      </w:r>
      <w:r w:rsidRPr="000B11C2">
        <w:rPr>
          <w:rFonts w:ascii="Microsoft Sans Serif" w:hAnsi="Microsoft Sans Serif" w:cs="Microsoft Sans Serif"/>
          <w:color w:val="000000" w:themeColor="text1"/>
          <w:sz w:val="20"/>
          <w:szCs w:val="20"/>
        </w:rPr>
        <w:t>see Materials and Methods</w:t>
      </w:r>
      <w:r w:rsidRPr="00015E35">
        <w:rPr>
          <w:rFonts w:ascii="Microsoft Sans Serif" w:hAnsi="Microsoft Sans Serif" w:cs="Microsoft Sans Serif"/>
          <w:color w:val="000000" w:themeColor="text1"/>
          <w:sz w:val="20"/>
          <w:szCs w:val="20"/>
        </w:rPr>
        <w:t>)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- </w:t>
      </w:r>
      <w:r w:rsidRPr="007862CA">
        <w:rPr>
          <w:rFonts w:ascii="Microsoft Sans Serif" w:hAnsi="Microsoft Sans Serif" w:cs="Microsoft Sans Serif"/>
          <w:sz w:val="20"/>
          <w:szCs w:val="20"/>
        </w:rPr>
        <w:t>LI Detector (LID, top left</w:t>
      </w:r>
      <w:r w:rsidR="000B11C2">
        <w:rPr>
          <w:rFonts w:ascii="Microsoft Sans Serif" w:hAnsi="Microsoft Sans Serif" w:cs="Microsoft Sans Serif"/>
          <w:sz w:val="20"/>
          <w:szCs w:val="20"/>
        </w:rPr>
        <w:t xml:space="preserve">, </w:t>
      </w:r>
      <w:r w:rsidR="000B11C2" w:rsidRPr="00E461F5">
        <w:rPr>
          <w:rFonts w:ascii="Microsoft Sans Serif" w:hAnsi="Microsoft Sans Serif" w:cs="Microsoft Sans Serif"/>
          <w:color w:val="000000" w:themeColor="text1"/>
          <w:sz w:val="20"/>
          <w:szCs w:val="20"/>
        </w:rPr>
        <w:t>this graph is identical as the one shown in</w:t>
      </w:r>
      <w:r w:rsidR="000B11C2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="000B11C2" w:rsidRPr="000B11C2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Figure 3B </w:t>
      </w:r>
      <w:r w:rsidR="000B11C2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and </w:t>
      </w:r>
      <w:r w:rsidR="000B11C2" w:rsidRPr="000B11C2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Figure S8C</w:t>
      </w:r>
      <w:r w:rsidR="000B11C2" w:rsidRPr="00E461F5">
        <w:rPr>
          <w:rFonts w:ascii="Microsoft Sans Serif" w:hAnsi="Microsoft Sans Serif" w:cs="Microsoft Sans Serif"/>
          <w:color w:val="000000" w:themeColor="text1"/>
          <w:sz w:val="20"/>
          <w:szCs w:val="20"/>
        </w:rPr>
        <w:t>)</w:t>
      </w:r>
      <w:r w:rsidRPr="007862CA">
        <w:rPr>
          <w:rFonts w:ascii="Microsoft Sans Serif" w:hAnsi="Microsoft Sans Serif" w:cs="Microsoft Sans Serif"/>
          <w:sz w:val="20"/>
          <w:szCs w:val="20"/>
        </w:rPr>
        <w:t>, LI Detector without local artifact correction (LID-AC, top right), LI Detector without source normalization (LID-SN, bottom left)</w:t>
      </w:r>
      <w:r>
        <w:rPr>
          <w:rFonts w:ascii="Microsoft Sans Serif" w:hAnsi="Microsoft Sans Serif" w:cs="Microsoft Sans Serif"/>
          <w:sz w:val="20"/>
          <w:szCs w:val="20"/>
        </w:rPr>
        <w:t>,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 and no normalization (NO-NORM, bottom right).</w:t>
      </w:r>
    </w:p>
    <w:p w14:paraId="3D9F5C5A" w14:textId="77777777" w:rsidR="002902FD" w:rsidRDefault="002902FD" w:rsidP="00040A08">
      <w:pPr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br w:type="page"/>
      </w:r>
    </w:p>
    <w:p w14:paraId="25A6B978" w14:textId="77777777" w:rsidR="002902FD" w:rsidRPr="00366AA4" w:rsidRDefault="002902FD" w:rsidP="00040A08">
      <w:pPr>
        <w:spacing w:line="276" w:lineRule="auto"/>
        <w:rPr>
          <w:rFonts w:ascii="Arial" w:hAnsi="Arial" w:cs="Arial"/>
          <w:sz w:val="20"/>
          <w:szCs w:val="20"/>
        </w:rPr>
      </w:pPr>
      <w:r w:rsidRPr="00366AA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55162AC" wp14:editId="0E4327BF">
            <wp:extent cx="5943590" cy="2496750"/>
            <wp:effectExtent l="0" t="0" r="635" b="5715"/>
            <wp:docPr id="13" name="Picture 13" descr="Chart, box and whisk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, box and whisker char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590" cy="249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60318" w14:textId="615CDACE" w:rsidR="002902FD" w:rsidRPr="00DD4A4D" w:rsidRDefault="002902FD" w:rsidP="00040A08">
      <w:pPr>
        <w:spacing w:line="276" w:lineRule="auto"/>
        <w:rPr>
          <w:rFonts w:ascii="Microsoft Sans Serif" w:hAnsi="Microsoft Sans Serif" w:cs="Microsoft Sans Serif"/>
          <w:b/>
          <w:bCs/>
          <w:sz w:val="20"/>
          <w:szCs w:val="20"/>
        </w:rPr>
      </w:pPr>
      <w:r w:rsidRPr="004936A1">
        <w:rPr>
          <w:rFonts w:ascii="Arial" w:hAnsi="Arial" w:cs="Arial"/>
          <w:b/>
          <w:bCs/>
          <w:sz w:val="20"/>
          <w:szCs w:val="20"/>
        </w:rPr>
        <w:t>Figure S</w:t>
      </w:r>
      <w:r>
        <w:rPr>
          <w:rFonts w:ascii="Arial" w:hAnsi="Arial" w:cs="Arial"/>
          <w:b/>
          <w:bCs/>
          <w:sz w:val="20"/>
          <w:szCs w:val="20"/>
        </w:rPr>
        <w:t>13</w:t>
      </w:r>
      <w:r w:rsidRPr="00D46121">
        <w:rPr>
          <w:rFonts w:ascii="Arial" w:hAnsi="Arial" w:cs="Arial"/>
          <w:b/>
          <w:bCs/>
          <w:sz w:val="20"/>
          <w:szCs w:val="20"/>
        </w:rPr>
        <w:t xml:space="preserve">. Specificity of different ways of using the LI Detector. </w:t>
      </w:r>
      <w:r w:rsidRPr="00D46121">
        <w:rPr>
          <w:rFonts w:ascii="Arial" w:hAnsi="Arial" w:cs="Arial"/>
          <w:sz w:val="20"/>
          <w:szCs w:val="20"/>
        </w:rPr>
        <w:t xml:space="preserve">Condition negative dataset used to measure the change in specificity with </w:t>
      </w:r>
      <w:r>
        <w:rPr>
          <w:rFonts w:ascii="Arial" w:hAnsi="Arial" w:cs="Arial"/>
          <w:b/>
          <w:bCs/>
          <w:sz w:val="20"/>
          <w:szCs w:val="20"/>
        </w:rPr>
        <w:t>A</w:t>
      </w:r>
      <w:r w:rsidRPr="00D46121">
        <w:rPr>
          <w:rFonts w:ascii="Arial" w:hAnsi="Arial" w:cs="Arial"/>
          <w:b/>
          <w:bCs/>
          <w:sz w:val="20"/>
          <w:szCs w:val="20"/>
        </w:rPr>
        <w:t xml:space="preserve">. </w:t>
      </w:r>
      <w:r w:rsidRPr="00D46121">
        <w:rPr>
          <w:rFonts w:ascii="Arial" w:hAnsi="Arial" w:cs="Arial"/>
          <w:sz w:val="20"/>
          <w:szCs w:val="20"/>
        </w:rPr>
        <w:t xml:space="preserve">different </w:t>
      </w:r>
      <w:r w:rsidRPr="00744D2F">
        <w:rPr>
          <w:rFonts w:ascii="Microsoft Sans Serif" w:hAnsi="Microsoft Sans Serif" w:cs="Microsoft Sans Serif"/>
          <w:sz w:val="20"/>
          <w:szCs w:val="20"/>
        </w:rPr>
        <w:t>strategies for fitness estimation</w:t>
      </w:r>
      <w:r w:rsidDel="005E0D14">
        <w:rPr>
          <w:rFonts w:ascii="Arial" w:hAnsi="Arial" w:cs="Arial"/>
          <w:sz w:val="20"/>
          <w:szCs w:val="20"/>
        </w:rPr>
        <w:t xml:space="preserve"> </w:t>
      </w:r>
      <w:r w:rsidRPr="00015E35">
        <w:rPr>
          <w:rFonts w:ascii="Arial" w:hAnsi="Arial" w:cs="Arial"/>
          <w:sz w:val="20"/>
          <w:szCs w:val="20"/>
        </w:rPr>
        <w:t>(</w:t>
      </w:r>
      <w:r w:rsidRPr="000B11C2">
        <w:rPr>
          <w:rFonts w:ascii="Arial" w:hAnsi="Arial" w:cs="Arial"/>
          <w:sz w:val="20"/>
          <w:szCs w:val="20"/>
        </w:rPr>
        <w:t>see Materials and Methods</w:t>
      </w:r>
      <w:r w:rsidRPr="00015E35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consisting of </w:t>
      </w:r>
      <w:r w:rsidRPr="0091629C">
        <w:rPr>
          <w:rFonts w:ascii="Arial" w:hAnsi="Arial" w:cs="Arial"/>
          <w:sz w:val="20"/>
          <w:szCs w:val="20"/>
        </w:rPr>
        <w:t>LI Detector (LID), LI Detector without local artifact correction (LID-AC), LI Detector without source normalization (LID-SN)</w:t>
      </w:r>
      <w:r>
        <w:rPr>
          <w:rFonts w:ascii="Arial" w:hAnsi="Arial" w:cs="Arial"/>
          <w:sz w:val="20"/>
          <w:szCs w:val="20"/>
        </w:rPr>
        <w:t>,</w:t>
      </w:r>
      <w:r w:rsidRPr="0091629C">
        <w:rPr>
          <w:rFonts w:ascii="Arial" w:hAnsi="Arial" w:cs="Arial"/>
          <w:sz w:val="20"/>
          <w:szCs w:val="20"/>
        </w:rPr>
        <w:t xml:space="preserve"> and no normalization (NO-NORM)</w:t>
      </w:r>
      <w:r>
        <w:rPr>
          <w:rFonts w:ascii="Arial" w:hAnsi="Arial" w:cs="Arial"/>
          <w:sz w:val="20"/>
          <w:szCs w:val="20"/>
        </w:rPr>
        <w:t>,</w:t>
      </w:r>
      <w:r w:rsidRPr="00D46121">
        <w:rPr>
          <w:rFonts w:ascii="Arial" w:hAnsi="Arial" w:cs="Arial"/>
          <w:sz w:val="20"/>
          <w:szCs w:val="20"/>
        </w:rPr>
        <w:t xml:space="preserve"> where boxplots show pooled specificity results from all time </w:t>
      </w:r>
      <w:proofErr w:type="gramStart"/>
      <w:r w:rsidRPr="00D46121">
        <w:rPr>
          <w:rFonts w:ascii="Arial" w:hAnsi="Arial" w:cs="Arial"/>
          <w:sz w:val="20"/>
          <w:szCs w:val="20"/>
        </w:rPr>
        <w:t>points;</w:t>
      </w:r>
      <w:proofErr w:type="gramEnd"/>
      <w:r w:rsidRPr="00D46121">
        <w:rPr>
          <w:rFonts w:ascii="Arial" w:hAnsi="Arial" w:cs="Arial"/>
          <w:sz w:val="20"/>
          <w:szCs w:val="20"/>
        </w:rPr>
        <w:t xml:space="preserve"> and 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Pr="00D46121">
        <w:rPr>
          <w:rFonts w:ascii="Arial" w:hAnsi="Arial" w:cs="Arial"/>
          <w:b/>
          <w:bCs/>
          <w:sz w:val="20"/>
          <w:szCs w:val="20"/>
        </w:rPr>
        <w:t xml:space="preserve">. </w:t>
      </w:r>
      <w:r w:rsidRPr="00D46121">
        <w:rPr>
          <w:rFonts w:ascii="Arial" w:hAnsi="Arial" w:cs="Arial"/>
          <w:sz w:val="20"/>
          <w:szCs w:val="20"/>
        </w:rPr>
        <w:t>number of replicates for mutant and proportion of references per plate</w:t>
      </w:r>
      <w:r>
        <w:rPr>
          <w:rFonts w:ascii="Arial" w:hAnsi="Arial" w:cs="Arial"/>
          <w:sz w:val="20"/>
          <w:szCs w:val="20"/>
        </w:rPr>
        <w:t>.</w:t>
      </w:r>
    </w:p>
    <w:p w14:paraId="2BBD525E" w14:textId="77777777" w:rsidR="005C3EA3" w:rsidRPr="007862CA" w:rsidRDefault="005C3EA3" w:rsidP="00040A08">
      <w:pPr>
        <w:spacing w:line="276" w:lineRule="auto"/>
        <w:rPr>
          <w:rFonts w:ascii="Microsoft Sans Serif" w:hAnsi="Microsoft Sans Serif" w:cs="Microsoft Sans Serif"/>
          <w:b/>
          <w:bCs/>
          <w:sz w:val="20"/>
          <w:szCs w:val="20"/>
        </w:rPr>
      </w:pPr>
    </w:p>
    <w:p w14:paraId="3E14F0F6" w14:textId="77777777" w:rsidR="005C3EA3" w:rsidRDefault="005C3EA3" w:rsidP="00040A08">
      <w:pPr>
        <w:spacing w:line="480" w:lineRule="auto"/>
        <w:rPr>
          <w:rFonts w:ascii="Arial" w:hAnsi="Arial" w:cs="Arial"/>
          <w:sz w:val="20"/>
          <w:szCs w:val="20"/>
        </w:rPr>
      </w:pPr>
    </w:p>
    <w:p w14:paraId="4C410DCE" w14:textId="77777777" w:rsidR="005C3EA3" w:rsidRDefault="005C3EA3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</w:p>
    <w:p w14:paraId="76BB6D8D" w14:textId="77777777" w:rsidR="005C3EA3" w:rsidRPr="00E461F5" w:rsidRDefault="005C3EA3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br w:type="page"/>
      </w:r>
    </w:p>
    <w:p w14:paraId="0F66B2A3" w14:textId="77777777" w:rsidR="005C3EA3" w:rsidRPr="00366AA4" w:rsidRDefault="005C3EA3" w:rsidP="00040A08">
      <w:pPr>
        <w:rPr>
          <w:rFonts w:ascii="Arial" w:hAnsi="Arial" w:cs="Arial"/>
          <w:sz w:val="22"/>
          <w:szCs w:val="22"/>
        </w:rPr>
      </w:pPr>
      <w:r w:rsidRPr="00366AA4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30F94E02" wp14:editId="673264D0">
            <wp:extent cx="5943600" cy="5943600"/>
            <wp:effectExtent l="0" t="0" r="0" b="0"/>
            <wp:docPr id="7" name="Picture 7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char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FC6CB" w14:textId="77777777" w:rsidR="005C3EA3" w:rsidRPr="00D46121" w:rsidRDefault="005C3EA3" w:rsidP="00040A08">
      <w:pPr>
        <w:rPr>
          <w:rFonts w:ascii="Arial" w:hAnsi="Arial" w:cs="Arial"/>
          <w:sz w:val="22"/>
          <w:szCs w:val="22"/>
        </w:rPr>
      </w:pPr>
    </w:p>
    <w:p w14:paraId="30DA40B3" w14:textId="3E7F5BDD" w:rsidR="005C3EA3" w:rsidRPr="007862CA" w:rsidRDefault="005C3EA3" w:rsidP="00040A08">
      <w:pPr>
        <w:rPr>
          <w:rFonts w:ascii="Microsoft Sans Serif" w:hAnsi="Microsoft Sans Serif" w:cs="Microsoft Sans Serif"/>
          <w:color w:val="000000" w:themeColor="text1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Figure S</w:t>
      </w:r>
      <w:r w:rsidR="00040A08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14</w:t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. Sensitivity is directly related to the number of references and replicates.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A</w:t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 xml:space="preserve">.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Sensitivity for observing 7% fitness effects, as a function of the varying proportion of references per plate (individual panels) and the number of replicates per strain (x-axis) was estimated for virtual plates with bimodal (purple) and random (orange) colony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size distribution. Error bars represent a single standard deviation. </w:t>
      </w:r>
      <w:r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B</w:t>
      </w:r>
      <w:r w:rsidRPr="007862CA">
        <w:rPr>
          <w:rFonts w:ascii="Microsoft Sans Serif" w:hAnsi="Microsoft Sans Serif" w:cs="Microsoft Sans Serif"/>
          <w:b/>
          <w:bCs/>
          <w:color w:val="000000" w:themeColor="text1"/>
          <w:sz w:val="20"/>
          <w:szCs w:val="20"/>
        </w:rPr>
        <w:t>.</w:t>
      </w:r>
      <w:r w:rsidRPr="007862CA">
        <w:rPr>
          <w:rFonts w:ascii="Microsoft Sans Serif" w:hAnsi="Microsoft Sans Serif" w:cs="Microsoft Sans Serif"/>
          <w:sz w:val="22"/>
          <w:szCs w:val="22"/>
        </w:rPr>
        <w:t xml:space="preserve">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Phenotype classification results from the virtual plates with random colony</w:t>
      </w:r>
      <w:r>
        <w:rPr>
          <w:rFonts w:ascii="Microsoft Sans Serif" w:hAnsi="Microsoft Sans Serif" w:cs="Microsoft Sans Serif"/>
          <w:color w:val="000000" w:themeColor="text1"/>
          <w:sz w:val="20"/>
          <w:szCs w:val="20"/>
        </w:rPr>
        <w:t xml:space="preserve"> </w:t>
      </w:r>
      <w:r w:rsidRPr="007862CA">
        <w:rPr>
          <w:rFonts w:ascii="Microsoft Sans Serif" w:hAnsi="Microsoft Sans Serif" w:cs="Microsoft Sans Serif"/>
          <w:color w:val="000000" w:themeColor="text1"/>
          <w:sz w:val="20"/>
          <w:szCs w:val="20"/>
        </w:rPr>
        <w:t>size distributions at a false positive rate of 5% are arranged according to increasing fitness effects. The dotted red line indicates a 5% fitness effect. Panels are arranged according to the increasing proportion of references per plate (top to bottom) and replicates per strain (left to right).</w:t>
      </w:r>
    </w:p>
    <w:p w14:paraId="3FF0DCAF" w14:textId="77777777" w:rsidR="005C3EA3" w:rsidRPr="00D46121" w:rsidRDefault="005C3EA3" w:rsidP="00040A08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164EEE42" w14:textId="77777777" w:rsidR="005C3EA3" w:rsidRPr="00D46121" w:rsidRDefault="005C3EA3" w:rsidP="00040A08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3D7F4794" w14:textId="221D5674" w:rsidR="00391661" w:rsidRPr="00391661" w:rsidRDefault="00391661" w:rsidP="00391661">
      <w:pPr>
        <w:rPr>
          <w:rFonts w:ascii="Times New Roman" w:eastAsia="Times New Roman" w:hAnsi="Times New Roman" w:cs="Times New Roman"/>
        </w:rPr>
      </w:pPr>
      <w:r w:rsidRPr="00391661">
        <w:rPr>
          <w:rFonts w:ascii="Times New Roman" w:eastAsia="Times New Roman" w:hAnsi="Times New Roman" w:cs="Times New Roman"/>
        </w:rPr>
        <w:lastRenderedPageBreak/>
        <w:fldChar w:fldCharType="begin"/>
      </w:r>
      <w:r w:rsidRPr="00391661">
        <w:rPr>
          <w:rFonts w:ascii="Times New Roman" w:eastAsia="Times New Roman" w:hAnsi="Times New Roman" w:cs="Times New Roman"/>
        </w:rPr>
        <w:instrText xml:space="preserve"> INCLUDEPICTURE "/var/folders/lw/rgln_s1j6f11mynx2s3dwsb40000gp/T/com.microsoft.Word/WebArchiveCopyPasteTempFiles/FIGURE_S8.jpg" \* MERGEFORMATINET </w:instrText>
      </w:r>
      <w:r w:rsidRPr="00391661">
        <w:rPr>
          <w:rFonts w:ascii="Times New Roman" w:eastAsia="Times New Roman" w:hAnsi="Times New Roman" w:cs="Times New Roman"/>
        </w:rPr>
        <w:fldChar w:fldCharType="separate"/>
      </w:r>
      <w:r w:rsidRPr="00391661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6906BAB" wp14:editId="172DDF4D">
            <wp:extent cx="3200400" cy="2489200"/>
            <wp:effectExtent l="0" t="0" r="0" b="0"/>
            <wp:docPr id="9" name="Picture 9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661">
        <w:rPr>
          <w:rFonts w:ascii="Times New Roman" w:eastAsia="Times New Roman" w:hAnsi="Times New Roman" w:cs="Times New Roman"/>
        </w:rPr>
        <w:fldChar w:fldCharType="end"/>
      </w:r>
    </w:p>
    <w:p w14:paraId="6D1714CB" w14:textId="55DC5654" w:rsidR="005C3EA3" w:rsidRPr="00366AA4" w:rsidRDefault="005C3EA3" w:rsidP="00040A08">
      <w:pPr>
        <w:spacing w:line="276" w:lineRule="auto"/>
        <w:rPr>
          <w:rFonts w:ascii="Arial" w:hAnsi="Arial" w:cs="Arial"/>
          <w:sz w:val="20"/>
          <w:szCs w:val="20"/>
        </w:rPr>
      </w:pPr>
    </w:p>
    <w:p w14:paraId="2985A024" w14:textId="71865C30" w:rsidR="00040A08" w:rsidRDefault="005C3EA3" w:rsidP="00040A08">
      <w:pPr>
        <w:spacing w:line="276" w:lineRule="auto"/>
        <w:rPr>
          <w:rFonts w:ascii="Microsoft Sans Serif" w:hAnsi="Microsoft Sans Serif" w:cs="Microsoft Sans Serif"/>
          <w:sz w:val="20"/>
          <w:szCs w:val="20"/>
        </w:rPr>
      </w:pP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>Figure S</w:t>
      </w:r>
      <w:r>
        <w:rPr>
          <w:rFonts w:ascii="Microsoft Sans Serif" w:hAnsi="Microsoft Sans Serif" w:cs="Microsoft Sans Serif"/>
          <w:b/>
          <w:bCs/>
          <w:sz w:val="20"/>
          <w:szCs w:val="20"/>
        </w:rPr>
        <w:t>1</w:t>
      </w:r>
      <w:r w:rsidR="00040A08">
        <w:rPr>
          <w:rFonts w:ascii="Microsoft Sans Serif" w:hAnsi="Microsoft Sans Serif" w:cs="Microsoft Sans Serif"/>
          <w:b/>
          <w:bCs/>
          <w:sz w:val="20"/>
          <w:szCs w:val="20"/>
        </w:rPr>
        <w:t>5</w:t>
      </w:r>
      <w:r w:rsidRPr="007862CA">
        <w:rPr>
          <w:rFonts w:ascii="Microsoft Sans Serif" w:hAnsi="Microsoft Sans Serif" w:cs="Microsoft Sans Serif"/>
          <w:b/>
          <w:bCs/>
          <w:sz w:val="20"/>
          <w:szCs w:val="20"/>
        </w:rPr>
        <w:t xml:space="preserve">. Effect on RMSE due to the proportion of references. </w:t>
      </w:r>
      <w:r w:rsidRPr="007862CA">
        <w:rPr>
          <w:rFonts w:ascii="Microsoft Sans Serif" w:hAnsi="Microsoft Sans Serif" w:cs="Microsoft Sans Serif"/>
          <w:sz w:val="20"/>
          <w:szCs w:val="20"/>
        </w:rPr>
        <w:t xml:space="preserve">The root </w:t>
      </w:r>
      <w:proofErr w:type="gramStart"/>
      <w:r w:rsidRPr="007862CA">
        <w:rPr>
          <w:rFonts w:ascii="Microsoft Sans Serif" w:hAnsi="Microsoft Sans Serif" w:cs="Microsoft Sans Serif"/>
          <w:sz w:val="20"/>
          <w:szCs w:val="20"/>
        </w:rPr>
        <w:t>mean</w:t>
      </w:r>
      <w:proofErr w:type="gramEnd"/>
      <w:r w:rsidRPr="007862CA">
        <w:rPr>
          <w:rFonts w:ascii="Microsoft Sans Serif" w:hAnsi="Microsoft Sans Serif" w:cs="Microsoft Sans Serif"/>
          <w:sz w:val="20"/>
          <w:szCs w:val="20"/>
        </w:rPr>
        <w:t xml:space="preserve"> square error percentage (RMSE%) for different proportions of references (colors) per time point </w:t>
      </w:r>
      <w:r>
        <w:rPr>
          <w:rFonts w:ascii="Microsoft Sans Serif" w:hAnsi="Microsoft Sans Serif" w:cs="Microsoft Sans Serif"/>
          <w:sz w:val="20"/>
          <w:szCs w:val="20"/>
        </w:rPr>
        <w:t xml:space="preserve">was </w:t>
      </w:r>
      <w:r w:rsidRPr="007862CA">
        <w:rPr>
          <w:rFonts w:ascii="Microsoft Sans Serif" w:hAnsi="Microsoft Sans Serif" w:cs="Microsoft Sans Serif"/>
          <w:sz w:val="20"/>
          <w:szCs w:val="20"/>
        </w:rPr>
        <w:t>used as a measure of the accuracy of LI Detector's reference-based background colony size. RMSE% decreases as colonies reach saturation and with an increasing proportion of references.</w:t>
      </w:r>
    </w:p>
    <w:p w14:paraId="0690D58D" w14:textId="3F018F27" w:rsidR="00163D87" w:rsidRDefault="00163D87">
      <w:pPr>
        <w:rPr>
          <w:rFonts w:ascii="Microsoft Sans Serif" w:hAnsi="Microsoft Sans Serif" w:cs="Microsoft Sans Serif"/>
          <w:sz w:val="20"/>
          <w:szCs w:val="20"/>
        </w:rPr>
      </w:pPr>
    </w:p>
    <w:p w14:paraId="39DD8E9B" w14:textId="03B49612" w:rsidR="00040A08" w:rsidRDefault="00040A08">
      <w:pPr>
        <w:rPr>
          <w:rFonts w:ascii="Microsoft Sans Serif" w:hAnsi="Microsoft Sans Serif" w:cs="Microsoft Sans Serif"/>
          <w:sz w:val="20"/>
          <w:szCs w:val="20"/>
        </w:rPr>
      </w:pPr>
    </w:p>
    <w:p w14:paraId="67748459" w14:textId="77777777" w:rsidR="00040A08" w:rsidRDefault="00040A08">
      <w:pPr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br w:type="page"/>
      </w:r>
    </w:p>
    <w:p w14:paraId="41EDE823" w14:textId="7ED90A7E" w:rsidR="00040A08" w:rsidRDefault="00040A08" w:rsidP="00040A08">
      <w:pPr>
        <w:jc w:val="center"/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lastRenderedPageBreak/>
        <w:t>REFERENCES</w:t>
      </w:r>
    </w:p>
    <w:p w14:paraId="2CC0E334" w14:textId="77777777" w:rsidR="00040A08" w:rsidRPr="00040A08" w:rsidRDefault="00040A08">
      <w:pPr>
        <w:rPr>
          <w:rFonts w:ascii="Microsoft Sans Serif" w:hAnsi="Microsoft Sans Serif" w:cs="Microsoft Sans Serif"/>
          <w:sz w:val="20"/>
          <w:szCs w:val="20"/>
        </w:rPr>
      </w:pPr>
    </w:p>
    <w:p w14:paraId="56073BC5" w14:textId="77777777" w:rsidR="003D1556" w:rsidRPr="003D1556" w:rsidRDefault="00163D87" w:rsidP="003D1556">
      <w:pPr>
        <w:pStyle w:val="EndNoteBibliography"/>
        <w:ind w:left="720" w:hanging="720"/>
        <w:rPr>
          <w:noProof/>
        </w:rPr>
      </w:pPr>
      <w:r>
        <w:fldChar w:fldCharType="begin"/>
      </w:r>
      <w:r>
        <w:instrText xml:space="preserve"> ADDIN EN.REFLIST </w:instrText>
      </w:r>
      <w:r>
        <w:fldChar w:fldCharType="separate"/>
      </w:r>
      <w:r w:rsidR="003D1556" w:rsidRPr="003D1556">
        <w:rPr>
          <w:noProof/>
        </w:rPr>
        <w:t>Bean GJ, Jaeger PA, Bahr S, Ideker T. 2014. Development of ultra-high-density screening tools for microbial "omics". PLoS One. 9(1):e85177.</w:t>
      </w:r>
    </w:p>
    <w:p w14:paraId="12587AB1" w14:textId="77777777" w:rsidR="003D1556" w:rsidRPr="003D1556" w:rsidRDefault="003D1556" w:rsidP="003D1556">
      <w:pPr>
        <w:pStyle w:val="EndNoteBibliography"/>
        <w:ind w:left="720" w:hanging="720"/>
        <w:rPr>
          <w:noProof/>
        </w:rPr>
      </w:pPr>
      <w:r w:rsidRPr="003D1556">
        <w:rPr>
          <w:noProof/>
        </w:rPr>
        <w:t>Kruskal WH, Wallis WA. 1952. Use of ranks in one-criterion variance analysis. Journal of the American Statistical Association. 47(260):583-621.</w:t>
      </w:r>
    </w:p>
    <w:p w14:paraId="0A16C6B8" w14:textId="77777777" w:rsidR="003D1556" w:rsidRPr="003D1556" w:rsidRDefault="003D1556" w:rsidP="003D1556">
      <w:pPr>
        <w:pStyle w:val="EndNoteBibliography"/>
        <w:ind w:left="720" w:hanging="720"/>
        <w:rPr>
          <w:noProof/>
        </w:rPr>
      </w:pPr>
      <w:r w:rsidRPr="003D1556">
        <w:rPr>
          <w:noProof/>
        </w:rPr>
        <w:t>Mann HB, Whitney DR. 1947. On a test of whether one of two random variables is stochastically larger than the other. The Annals of Mathematical Statistics. 18(1):50-60.</w:t>
      </w:r>
    </w:p>
    <w:p w14:paraId="79421775" w14:textId="77777777" w:rsidR="003D1556" w:rsidRPr="003D1556" w:rsidRDefault="003D1556" w:rsidP="003D1556">
      <w:pPr>
        <w:pStyle w:val="EndNoteBibliography"/>
        <w:ind w:left="720" w:hanging="720"/>
        <w:rPr>
          <w:noProof/>
        </w:rPr>
      </w:pPr>
      <w:r w:rsidRPr="003D1556">
        <w:rPr>
          <w:noProof/>
        </w:rPr>
        <w:t>Storey JD. 2002. A direct approach to false discovery rates. J R Stat Soc B. 64:479-498.</w:t>
      </w:r>
    </w:p>
    <w:p w14:paraId="278A9A47" w14:textId="77777777" w:rsidR="003D1556" w:rsidRPr="003D1556" w:rsidRDefault="003D1556" w:rsidP="003D1556">
      <w:pPr>
        <w:pStyle w:val="EndNoteBibliography"/>
        <w:ind w:left="720" w:hanging="720"/>
        <w:rPr>
          <w:noProof/>
        </w:rPr>
      </w:pPr>
      <w:r w:rsidRPr="003D1556">
        <w:rPr>
          <w:noProof/>
        </w:rPr>
        <w:t>Wilcoxon F. 1946. Individual comparisons of grouped data by ranking methods. J Econ Entomol. 39:269.</w:t>
      </w:r>
    </w:p>
    <w:p w14:paraId="200942A6" w14:textId="778AEBF2" w:rsidR="005C3EA3" w:rsidRDefault="00163D87">
      <w:r>
        <w:fldChar w:fldCharType="end"/>
      </w:r>
    </w:p>
    <w:sectPr w:rsidR="005C3EA3" w:rsidSect="005C3EA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crosoft Sans Serif">
    <w:altName w:val="﷽﷽﷽﷽﷽﷽﷽﷽t Sans Serif"/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SE Style Manual 8th Edition N-Y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x2xav2dzzvp5ddez223vpv22tw9d5dx2dxxv&quot;&gt;MyEndNoteLibrary2&lt;record-ids&gt;&lt;item&gt;14&lt;/item&gt;&lt;item&gt;1223&lt;/item&gt;&lt;item&gt;1227&lt;/item&gt;&lt;item&gt;1316&lt;/item&gt;&lt;item&gt;1321&lt;/item&gt;&lt;/record-ids&gt;&lt;/item&gt;&lt;/Libraries&gt;"/>
  </w:docVars>
  <w:rsids>
    <w:rsidRoot w:val="005C3EA3"/>
    <w:rsid w:val="00040A08"/>
    <w:rsid w:val="000B11C2"/>
    <w:rsid w:val="000F46C1"/>
    <w:rsid w:val="000F572C"/>
    <w:rsid w:val="00154D65"/>
    <w:rsid w:val="00163D87"/>
    <w:rsid w:val="002267CF"/>
    <w:rsid w:val="002902FD"/>
    <w:rsid w:val="002E65AA"/>
    <w:rsid w:val="002F7378"/>
    <w:rsid w:val="00391661"/>
    <w:rsid w:val="003D1556"/>
    <w:rsid w:val="004B7E7D"/>
    <w:rsid w:val="00572699"/>
    <w:rsid w:val="005A5D25"/>
    <w:rsid w:val="005C3EA3"/>
    <w:rsid w:val="006449CE"/>
    <w:rsid w:val="0066691D"/>
    <w:rsid w:val="006834E2"/>
    <w:rsid w:val="006A0E76"/>
    <w:rsid w:val="006C739D"/>
    <w:rsid w:val="00803FEA"/>
    <w:rsid w:val="00817BA7"/>
    <w:rsid w:val="00893D07"/>
    <w:rsid w:val="008D781A"/>
    <w:rsid w:val="00955918"/>
    <w:rsid w:val="009E2BD3"/>
    <w:rsid w:val="00A30F6F"/>
    <w:rsid w:val="00A87667"/>
    <w:rsid w:val="00BC2DA5"/>
    <w:rsid w:val="00BF1A21"/>
    <w:rsid w:val="00D10A58"/>
    <w:rsid w:val="00D155A1"/>
    <w:rsid w:val="00D42EA7"/>
    <w:rsid w:val="00D65F47"/>
    <w:rsid w:val="00D74856"/>
    <w:rsid w:val="00DD1FE1"/>
    <w:rsid w:val="00ED4655"/>
    <w:rsid w:val="00EE2634"/>
    <w:rsid w:val="00F27C20"/>
    <w:rsid w:val="00F459AA"/>
    <w:rsid w:val="00F65D82"/>
    <w:rsid w:val="00FE7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FE2E1C"/>
  <w15:chartTrackingRefBased/>
  <w15:docId w15:val="{420A7C3F-7CFF-CD42-A2A3-D7833A084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3E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3EA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EA3"/>
    <w:rPr>
      <w:rFonts w:ascii="Times New Roman" w:hAnsi="Times New Roman" w:cs="Times New Roman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163D87"/>
    <w:pPr>
      <w:jc w:val="center"/>
    </w:pPr>
    <w:rPr>
      <w:rFonts w:ascii="Calibri" w:hAnsi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63D87"/>
    <w:rPr>
      <w:rFonts w:ascii="Calibri" w:hAnsi="Calibri"/>
    </w:rPr>
  </w:style>
  <w:style w:type="paragraph" w:customStyle="1" w:styleId="EndNoteBibliography">
    <w:name w:val="EndNote Bibliography"/>
    <w:basedOn w:val="Normal"/>
    <w:link w:val="EndNoteBibliographyChar"/>
    <w:rsid w:val="00163D87"/>
    <w:rPr>
      <w:rFonts w:ascii="Calibri" w:hAnsi="Calibri"/>
    </w:rPr>
  </w:style>
  <w:style w:type="character" w:customStyle="1" w:styleId="EndNoteBibliographyChar">
    <w:name w:val="EndNote Bibliography Char"/>
    <w:basedOn w:val="DefaultParagraphFont"/>
    <w:link w:val="EndNoteBibliography"/>
    <w:rsid w:val="00163D87"/>
    <w:rPr>
      <w:rFonts w:ascii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510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18</Pages>
  <Words>3065</Words>
  <Characters>16125</Characters>
  <Application>Microsoft Office Word</Application>
  <DocSecurity>0</DocSecurity>
  <Lines>310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Parikh, Saurin</dc:creator>
  <cp:keywords/>
  <dc:description/>
  <cp:lastModifiedBy>Parikh, Saurin</cp:lastModifiedBy>
  <cp:revision>6</cp:revision>
  <dcterms:created xsi:type="dcterms:W3CDTF">2020-12-10T21:11:00Z</dcterms:created>
  <dcterms:modified xsi:type="dcterms:W3CDTF">2020-12-14T14:34:00Z</dcterms:modified>
</cp:coreProperties>
</file>