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01C8" w:rsidRPr="0029524E" w:rsidRDefault="0029524E" w:rsidP="001C3802">
      <w:pPr>
        <w:rPr>
          <w:rFonts w:asciiTheme="majorHAnsi" w:hAnsiTheme="majorHAnsi" w:cstheme="majorHAnsi"/>
          <w:b/>
        </w:rPr>
      </w:pPr>
      <w:r w:rsidRPr="0029524E">
        <w:rPr>
          <w:rFonts w:asciiTheme="majorHAnsi" w:hAnsiTheme="majorHAnsi" w:cstheme="majorHAnsi"/>
          <w:b/>
        </w:rPr>
        <w:t>Table S</w:t>
      </w:r>
      <w:r w:rsidR="000B37C7" w:rsidRPr="0029524E">
        <w:rPr>
          <w:rFonts w:asciiTheme="majorHAnsi" w:hAnsiTheme="majorHAnsi" w:cstheme="majorHAnsi"/>
          <w:b/>
        </w:rPr>
        <w:t>11</w:t>
      </w:r>
      <w:r w:rsidR="001C3802" w:rsidRPr="0029524E">
        <w:rPr>
          <w:rFonts w:asciiTheme="majorHAnsi" w:hAnsiTheme="majorHAnsi" w:cstheme="majorHAnsi"/>
          <w:b/>
        </w:rPr>
        <w:t>. Genomic locations of genes and mutants related to tiller development, photoperiod sensitivity, circadian clock, and spike morphology in barley</w:t>
      </w:r>
      <w:r w:rsidR="0054616F" w:rsidRPr="0029524E">
        <w:rPr>
          <w:rFonts w:asciiTheme="majorHAnsi" w:hAnsiTheme="majorHAnsi" w:cstheme="majorHAnsi"/>
          <w:b/>
        </w:rPr>
        <w:t xml:space="preserve"> compiled for candidate gene analysis</w:t>
      </w:r>
      <w:r w:rsidR="001C3802" w:rsidRPr="0029524E">
        <w:rPr>
          <w:rFonts w:asciiTheme="majorHAnsi" w:hAnsiTheme="majorHAnsi" w:cstheme="majorHAnsi"/>
          <w:b/>
        </w:rPr>
        <w:t>.</w:t>
      </w:r>
    </w:p>
    <w:tbl>
      <w:tblPr>
        <w:tblW w:w="12865" w:type="dxa"/>
        <w:jc w:val="center"/>
        <w:tblCellMar>
          <w:left w:w="29" w:type="dxa"/>
          <w:right w:w="29" w:type="dxa"/>
        </w:tblCellMar>
        <w:tblLook w:val="04A0" w:firstRow="1" w:lastRow="0" w:firstColumn="1" w:lastColumn="0" w:noHBand="0" w:noVBand="1"/>
      </w:tblPr>
      <w:tblGrid>
        <w:gridCol w:w="2336"/>
        <w:gridCol w:w="2681"/>
        <w:gridCol w:w="3132"/>
        <w:gridCol w:w="448"/>
        <w:gridCol w:w="1170"/>
        <w:gridCol w:w="878"/>
        <w:gridCol w:w="2220"/>
      </w:tblGrid>
      <w:tr w:rsidR="001C3802" w:rsidRPr="001C3802" w:rsidTr="00221BDF">
        <w:trPr>
          <w:trHeight w:val="520"/>
          <w:jc w:val="center"/>
        </w:trPr>
        <w:tc>
          <w:tcPr>
            <w:tcW w:w="23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C3802" w:rsidRPr="001C3802" w:rsidRDefault="001C3802" w:rsidP="001C3802">
            <w:pPr>
              <w:spacing w:after="0" w:line="240" w:lineRule="auto"/>
              <w:jc w:val="center"/>
              <w:rPr>
                <w:rFonts w:ascii="Times New Roman" w:eastAsia="Arial" w:hAnsi="Times New Roman" w:cs="Times New Roman"/>
              </w:rPr>
            </w:pPr>
            <w:r w:rsidRPr="001C3802">
              <w:rPr>
                <w:rFonts w:ascii="Times New Roman" w:eastAsia="Arial" w:hAnsi="Times New Roman" w:cs="Times New Roman"/>
              </w:rPr>
              <w:t>Gene ID</w:t>
            </w:r>
          </w:p>
        </w:tc>
        <w:tc>
          <w:tcPr>
            <w:tcW w:w="268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C3802" w:rsidRPr="001C3802" w:rsidRDefault="001C3802" w:rsidP="001C3802">
            <w:pPr>
              <w:spacing w:after="0" w:line="240" w:lineRule="auto"/>
              <w:jc w:val="center"/>
              <w:rPr>
                <w:rFonts w:ascii="Times New Roman" w:eastAsia="Arial" w:hAnsi="Times New Roman" w:cs="Times New Roman"/>
              </w:rPr>
            </w:pPr>
            <w:r w:rsidRPr="001C3802">
              <w:rPr>
                <w:rFonts w:ascii="Times New Roman" w:eastAsia="Arial" w:hAnsi="Times New Roman" w:cs="Times New Roman"/>
              </w:rPr>
              <w:t>Gene/Mutant Name</w:t>
            </w:r>
          </w:p>
        </w:tc>
        <w:tc>
          <w:tcPr>
            <w:tcW w:w="313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C3802" w:rsidRPr="001C3802" w:rsidRDefault="001C3802" w:rsidP="001C3802">
            <w:pPr>
              <w:spacing w:after="0" w:line="240" w:lineRule="auto"/>
              <w:jc w:val="center"/>
              <w:rPr>
                <w:rFonts w:ascii="Times New Roman" w:eastAsia="Arial" w:hAnsi="Times New Roman" w:cs="Times New Roman"/>
              </w:rPr>
            </w:pPr>
            <w:r w:rsidRPr="001C3802">
              <w:rPr>
                <w:rFonts w:ascii="Times New Roman" w:eastAsia="Arial" w:hAnsi="Times New Roman" w:cs="Times New Roman"/>
              </w:rPr>
              <w:t>Protein Annotation</w:t>
            </w:r>
          </w:p>
        </w:tc>
        <w:tc>
          <w:tcPr>
            <w:tcW w:w="44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C3802" w:rsidRPr="001C3802" w:rsidRDefault="001C3802" w:rsidP="001C3802">
            <w:pPr>
              <w:spacing w:after="0" w:line="240" w:lineRule="auto"/>
              <w:jc w:val="center"/>
              <w:rPr>
                <w:rFonts w:ascii="Times New Roman" w:eastAsia="Arial" w:hAnsi="Times New Roman" w:cs="Times New Roman"/>
              </w:rPr>
            </w:pPr>
            <w:r w:rsidRPr="001C3802">
              <w:rPr>
                <w:rFonts w:ascii="Times New Roman" w:eastAsia="Arial" w:hAnsi="Times New Roman" w:cs="Times New Roman"/>
              </w:rPr>
              <w:t>Chr</w:t>
            </w:r>
          </w:p>
        </w:tc>
        <w:tc>
          <w:tcPr>
            <w:tcW w:w="11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C3802" w:rsidRPr="001C3802" w:rsidRDefault="001C3802" w:rsidP="001C3802">
            <w:pPr>
              <w:spacing w:after="0" w:line="240" w:lineRule="auto"/>
              <w:jc w:val="center"/>
              <w:rPr>
                <w:rFonts w:ascii="Times New Roman" w:eastAsia="Arial" w:hAnsi="Times New Roman" w:cs="Times New Roman"/>
              </w:rPr>
            </w:pPr>
            <w:r w:rsidRPr="001C3802">
              <w:rPr>
                <w:rFonts w:ascii="Times New Roman" w:eastAsia="Arial" w:hAnsi="Times New Roman" w:cs="Times New Roman"/>
              </w:rPr>
              <w:t>Gene/</w:t>
            </w:r>
          </w:p>
          <w:p w:rsidR="001C3802" w:rsidRPr="001C3802" w:rsidRDefault="001C3802" w:rsidP="00C16B01">
            <w:pPr>
              <w:spacing w:after="0" w:line="240" w:lineRule="auto"/>
              <w:jc w:val="center"/>
              <w:rPr>
                <w:rFonts w:ascii="Times New Roman" w:eastAsia="Arial" w:hAnsi="Times New Roman" w:cs="Times New Roman"/>
              </w:rPr>
            </w:pPr>
            <w:r w:rsidRPr="001C3802">
              <w:rPr>
                <w:rFonts w:ascii="Times New Roman" w:eastAsia="Arial" w:hAnsi="Times New Roman" w:cs="Times New Roman"/>
              </w:rPr>
              <w:t xml:space="preserve">Interval </w:t>
            </w:r>
            <w:r w:rsidRPr="001C3802">
              <w:rPr>
                <w:rFonts w:ascii="Times New Roman" w:eastAsia="Arial" w:hAnsi="Times New Roman" w:cs="Times New Roman"/>
              </w:rPr>
              <w:br/>
              <w:t>Start (bp)</w:t>
            </w:r>
            <w:r w:rsidR="00C16B01" w:rsidRPr="00C16B01">
              <w:rPr>
                <w:rFonts w:ascii="Times New Roman" w:eastAsia="Arial" w:hAnsi="Times New Roman" w:cs="Times New Roman"/>
                <w:i/>
                <w:vertAlign w:val="superscript"/>
              </w:rPr>
              <w:t>a</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C3802" w:rsidRPr="001C3802" w:rsidRDefault="000B37C7" w:rsidP="00C16B01">
            <w:pPr>
              <w:spacing w:after="0" w:line="240" w:lineRule="auto"/>
              <w:jc w:val="center"/>
              <w:rPr>
                <w:rFonts w:ascii="Times New Roman" w:eastAsia="Arial" w:hAnsi="Times New Roman" w:cs="Times New Roman"/>
              </w:rPr>
            </w:pPr>
            <w:r>
              <w:rPr>
                <w:rFonts w:ascii="Times New Roman" w:eastAsia="Arial" w:hAnsi="Times New Roman" w:cs="Times New Roman"/>
              </w:rPr>
              <w:t>POPSEQ</w:t>
            </w:r>
            <w:r w:rsidR="001C3802" w:rsidRPr="001C3802">
              <w:rPr>
                <w:rFonts w:ascii="Times New Roman" w:eastAsia="Arial" w:hAnsi="Times New Roman" w:cs="Times New Roman"/>
              </w:rPr>
              <w:t xml:space="preserve"> </w:t>
            </w:r>
            <w:r w:rsidR="001C3802" w:rsidRPr="001C3802">
              <w:rPr>
                <w:rFonts w:ascii="Times New Roman" w:eastAsia="Arial" w:hAnsi="Times New Roman" w:cs="Times New Roman"/>
              </w:rPr>
              <w:br/>
              <w:t>Pos (cM)</w:t>
            </w:r>
            <w:r w:rsidR="00C16B01" w:rsidRPr="00C16B01">
              <w:rPr>
                <w:rFonts w:ascii="Times New Roman" w:eastAsia="Arial" w:hAnsi="Times New Roman" w:cs="Times New Roman"/>
                <w:i/>
                <w:vertAlign w:val="superscript"/>
              </w:rPr>
              <w:t>a</w:t>
            </w:r>
          </w:p>
        </w:tc>
        <w:tc>
          <w:tcPr>
            <w:tcW w:w="22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C3802" w:rsidRPr="001C3802" w:rsidRDefault="001C3802" w:rsidP="001C3802">
            <w:pPr>
              <w:spacing w:after="0" w:line="240" w:lineRule="auto"/>
              <w:jc w:val="center"/>
              <w:rPr>
                <w:rFonts w:ascii="Times New Roman" w:eastAsia="Arial" w:hAnsi="Times New Roman" w:cs="Times New Roman"/>
              </w:rPr>
            </w:pPr>
            <w:r w:rsidRPr="001C3802">
              <w:rPr>
                <w:rFonts w:ascii="Times New Roman" w:eastAsia="Arial" w:hAnsi="Times New Roman" w:cs="Times New Roman"/>
              </w:rPr>
              <w:t>References</w:t>
            </w:r>
          </w:p>
        </w:tc>
      </w:tr>
      <w:tr w:rsidR="001C3802" w:rsidRPr="001C3802" w:rsidTr="00221BDF">
        <w:trPr>
          <w:trHeight w:val="260"/>
          <w:jc w:val="center"/>
        </w:trPr>
        <w:tc>
          <w:tcPr>
            <w:tcW w:w="12865"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1C3802" w:rsidRPr="001C3802" w:rsidRDefault="001C3802" w:rsidP="001C3802">
            <w:pPr>
              <w:spacing w:after="0" w:line="240" w:lineRule="auto"/>
              <w:jc w:val="center"/>
              <w:rPr>
                <w:rFonts w:ascii="Times New Roman" w:eastAsia="Arial" w:hAnsi="Times New Roman" w:cs="Times New Roman"/>
              </w:rPr>
            </w:pPr>
            <w:r w:rsidRPr="001C3802">
              <w:rPr>
                <w:rFonts w:ascii="Times New Roman" w:eastAsia="Arial" w:hAnsi="Times New Roman" w:cs="Times New Roman"/>
              </w:rPr>
              <w:t>Tillering Genes</w:t>
            </w:r>
          </w:p>
        </w:tc>
      </w:tr>
      <w:tr w:rsidR="001C3802" w:rsidRPr="001C3802" w:rsidTr="00221BDF">
        <w:trPr>
          <w:trHeight w:val="290"/>
          <w:jc w:val="center"/>
        </w:trPr>
        <w:tc>
          <w:tcPr>
            <w:tcW w:w="2336" w:type="dxa"/>
            <w:tcBorders>
              <w:top w:val="single" w:sz="4" w:space="0" w:color="auto"/>
              <w:left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HORVU2Hr1G011730</w:t>
            </w:r>
          </w:p>
        </w:tc>
        <w:tc>
          <w:tcPr>
            <w:tcW w:w="2681" w:type="dxa"/>
            <w:tcBorders>
              <w:top w:val="single" w:sz="4" w:space="0" w:color="auto"/>
              <w:left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rPr>
                <w:rFonts w:ascii="Times New Roman" w:eastAsia="Arial" w:hAnsi="Times New Roman" w:cs="Times New Roman"/>
                <w:i/>
              </w:rPr>
            </w:pPr>
            <w:r w:rsidRPr="001C3802">
              <w:rPr>
                <w:rFonts w:ascii="Times New Roman" w:eastAsia="Arial" w:hAnsi="Times New Roman" w:cs="Times New Roman"/>
                <w:i/>
              </w:rPr>
              <w:t xml:space="preserve">ELIGULUM-A </w:t>
            </w:r>
            <w:r w:rsidRPr="001C3802">
              <w:rPr>
                <w:rFonts w:ascii="Times New Roman" w:eastAsia="Arial" w:hAnsi="Times New Roman" w:cs="Times New Roman"/>
              </w:rPr>
              <w:t>(</w:t>
            </w:r>
            <w:r w:rsidRPr="001C3802">
              <w:rPr>
                <w:rFonts w:ascii="Times New Roman" w:eastAsia="Arial" w:hAnsi="Times New Roman" w:cs="Times New Roman"/>
                <w:i/>
              </w:rPr>
              <w:t>ELI-A</w:t>
            </w:r>
            <w:r w:rsidRPr="001C3802">
              <w:rPr>
                <w:rFonts w:ascii="Times New Roman" w:eastAsia="Arial" w:hAnsi="Times New Roman" w:cs="Times New Roman"/>
              </w:rPr>
              <w:t>)</w:t>
            </w:r>
          </w:p>
        </w:tc>
        <w:tc>
          <w:tcPr>
            <w:tcW w:w="3132" w:type="dxa"/>
            <w:tcBorders>
              <w:top w:val="single" w:sz="4" w:space="0" w:color="auto"/>
              <w:left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Putative transposon with RNase H domain</w:t>
            </w:r>
          </w:p>
        </w:tc>
        <w:tc>
          <w:tcPr>
            <w:tcW w:w="448" w:type="dxa"/>
            <w:tcBorders>
              <w:top w:val="single" w:sz="4" w:space="0" w:color="auto"/>
              <w:left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jc w:val="center"/>
              <w:rPr>
                <w:rFonts w:ascii="Times New Roman" w:eastAsia="Arial" w:hAnsi="Times New Roman" w:cs="Times New Roman"/>
              </w:rPr>
            </w:pPr>
            <w:r w:rsidRPr="001C3802">
              <w:rPr>
                <w:rFonts w:ascii="Times New Roman" w:eastAsia="Arial" w:hAnsi="Times New Roman" w:cs="Times New Roman"/>
              </w:rPr>
              <w:t>2</w:t>
            </w:r>
          </w:p>
        </w:tc>
        <w:tc>
          <w:tcPr>
            <w:tcW w:w="1170" w:type="dxa"/>
            <w:tcBorders>
              <w:top w:val="single" w:sz="4" w:space="0" w:color="auto"/>
              <w:left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24295416</w:t>
            </w:r>
          </w:p>
        </w:tc>
        <w:tc>
          <w:tcPr>
            <w:tcW w:w="878" w:type="dxa"/>
            <w:tcBorders>
              <w:top w:val="single" w:sz="4" w:space="0" w:color="auto"/>
              <w:left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15.52</w:t>
            </w:r>
          </w:p>
        </w:tc>
        <w:tc>
          <w:tcPr>
            <w:tcW w:w="2220" w:type="dxa"/>
            <w:tcBorders>
              <w:top w:val="single" w:sz="4" w:space="0" w:color="auto"/>
              <w:left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fldChar w:fldCharType="begin"/>
            </w:r>
            <w:r w:rsidR="003B3687">
              <w:rPr>
                <w:rFonts w:ascii="Times New Roman" w:eastAsia="Arial" w:hAnsi="Times New Roman" w:cs="Times New Roman"/>
              </w:rPr>
              <w:instrText xml:space="preserve"> ADDIN ZOTERO_ITEM CSL_CITATION {"citationID":"dep1frWj","properties":{"formattedCitation":"(Okagaki et al., 2018)","plainCitation":"(Okagaki et al., 2018)","noteIndex":0},"citationItems":[{"id":4933,"uris":["http://zotero.org/groups/328762/items/6U5MMCK8"],"uri":["http://zotero.org/groups/328762/items/6U5MMCK8"],"itemData":{"id":4933,"type":"article-journal","title":"ELIGULUM-A regulates lateral branch and leaf development in barley","container-title":"Plant Physiology","page":"2750–2760","volume":"176","source":"www.plantphysiol.org","abstract":"The shoot apical and axillary meristems control shoot development, effectively influencing lateral branch and leaf formation. The barley (Hordeum vulgare L.) uniculm2 (cul2) mutation blocks axillary meristem development and mutant plants lack lateral branches (tillers) that normally develop from the crown. A genetic screen for cul2 suppressors recovered two recessive alleles of ELIGULUM-A (ELI-A) that partially rescued the cul2 tillering phenotype. Mutations in ELI-A produce shorter plants with fewer tillers and disrupt the leaf blade-sheath boundary, producing liguleless leaves and reduced secondary cell wall development in stems and leaves. ELI-A is predicted to encode an un-annotated protein containing a RNaseH-like domain that is conserved in land plants. ELI-A transcripts accumulate at the preligule boundary, the developing ligule, leaf margins, cells destined to develop secondary cell walls, and cells surrounding leaf vascular bundles. Recent studies have identified regulatory similarities between boundary development in leaves and lateral organs. Interestingly, we observed ELI-A transcripts at the preligule boundary, suggesting that ELI-A contributes to boundary formation between the blade and sheath. However, we did not observe ELI-A transcripts at the axillary meristem boundary in leaf axils, suggesting that ELI-A is not involved in boundary development for axillary meristem development. Our results show that ELI-A contributes to leaf and lateral branch development by acting as a boundary gene during ligule development but not during lateral branch development.","DOI":"10.1104/pp.17.01459","ISSN":"0032-0889, 1532-2548","note":"PMID: 29440592","language":"en","author":[{"family":"Okagaki","given":"Ron J."},{"family":"Haaning","given":"Allison"},{"family":"Bilgic","given":"Hatice"},{"family":"Heinen","given":"Shane"},{"family":"Druka","given":"Arnis"},{"family":"Bayer","given":"Micha"},{"family":"Waugh","given":"Robbie"},{"family":"Muehlbauer","given":"Gary J."}],"issued":{"date-parts":[["2018",1,1]]}}}],"schema":"https://github.com/citation-style-language/schema/raw/master/csl-citation.json"} </w:instrText>
            </w:r>
            <w:r w:rsidRPr="001C3802">
              <w:rPr>
                <w:rFonts w:ascii="Times New Roman" w:eastAsia="Arial" w:hAnsi="Times New Roman" w:cs="Times New Roman"/>
              </w:rPr>
              <w:fldChar w:fldCharType="separate"/>
            </w:r>
            <w:r w:rsidR="003B3687" w:rsidRPr="003B3687">
              <w:rPr>
                <w:rFonts w:ascii="Times New Roman" w:hAnsi="Times New Roman" w:cs="Times New Roman"/>
              </w:rPr>
              <w:t>(Okagaki et al., 2018)</w:t>
            </w:r>
            <w:r w:rsidRPr="001C3802">
              <w:rPr>
                <w:rFonts w:ascii="Times New Roman" w:eastAsia="Arial" w:hAnsi="Times New Roman" w:cs="Times New Roman"/>
              </w:rPr>
              <w:fldChar w:fldCharType="end"/>
            </w:r>
          </w:p>
        </w:tc>
      </w:tr>
      <w:tr w:rsidR="001C3802" w:rsidRPr="001C3802" w:rsidTr="00221BDF">
        <w:trPr>
          <w:trHeight w:val="520"/>
          <w:jc w:val="center"/>
        </w:trPr>
        <w:tc>
          <w:tcPr>
            <w:tcW w:w="2336" w:type="dxa"/>
            <w:tcBorders>
              <w:left w:val="single" w:sz="4" w:space="0" w:color="auto"/>
              <w:right w:val="single" w:sz="4" w:space="0" w:color="auto"/>
            </w:tcBorders>
            <w:shd w:val="clear" w:color="000000" w:fill="FFFFFF"/>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Not applicable (NA)</w:t>
            </w:r>
          </w:p>
        </w:tc>
        <w:tc>
          <w:tcPr>
            <w:tcW w:w="2681" w:type="dxa"/>
            <w:tcBorders>
              <w:left w:val="single" w:sz="4" w:space="0" w:color="auto"/>
              <w:right w:val="single" w:sz="4" w:space="0" w:color="auto"/>
            </w:tcBorders>
            <w:shd w:val="clear" w:color="000000" w:fill="FFFFFF"/>
            <w:vAlign w:val="center"/>
            <w:hideMark/>
          </w:tcPr>
          <w:p w:rsidR="001C3802" w:rsidRPr="001C3802" w:rsidRDefault="001C3802" w:rsidP="001C3802">
            <w:pPr>
              <w:spacing w:after="0" w:line="240" w:lineRule="auto"/>
              <w:rPr>
                <w:rFonts w:ascii="Times New Roman" w:eastAsia="Arial" w:hAnsi="Times New Roman" w:cs="Times New Roman"/>
                <w:i/>
              </w:rPr>
            </w:pPr>
            <w:r w:rsidRPr="001C3802">
              <w:rPr>
                <w:rFonts w:ascii="Times New Roman" w:eastAsia="Arial" w:hAnsi="Times New Roman" w:cs="Times New Roman"/>
                <w:i/>
              </w:rPr>
              <w:t>many noded dwarf1 (mnd1)</w:t>
            </w:r>
          </w:p>
        </w:tc>
        <w:tc>
          <w:tcPr>
            <w:tcW w:w="3132" w:type="dxa"/>
            <w:tcBorders>
              <w:left w:val="single" w:sz="4" w:space="0" w:color="auto"/>
              <w:right w:val="single" w:sz="4" w:space="0" w:color="auto"/>
            </w:tcBorders>
            <w:shd w:val="clear" w:color="000000" w:fill="FFFFFF"/>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NA</w:t>
            </w:r>
          </w:p>
        </w:tc>
        <w:tc>
          <w:tcPr>
            <w:tcW w:w="448" w:type="dxa"/>
            <w:tcBorders>
              <w:left w:val="single" w:sz="4" w:space="0" w:color="auto"/>
              <w:right w:val="single" w:sz="4" w:space="0" w:color="auto"/>
            </w:tcBorders>
            <w:shd w:val="clear" w:color="000000" w:fill="FFFFFF"/>
            <w:vAlign w:val="center"/>
            <w:hideMark/>
          </w:tcPr>
          <w:p w:rsidR="001C3802" w:rsidRPr="001C3802" w:rsidRDefault="001C3802" w:rsidP="001C3802">
            <w:pPr>
              <w:spacing w:after="0" w:line="240" w:lineRule="auto"/>
              <w:jc w:val="center"/>
              <w:rPr>
                <w:rFonts w:ascii="Times New Roman" w:eastAsia="Arial" w:hAnsi="Times New Roman" w:cs="Times New Roman"/>
              </w:rPr>
            </w:pPr>
            <w:r w:rsidRPr="001C3802">
              <w:rPr>
                <w:rFonts w:ascii="Times New Roman" w:eastAsia="Arial" w:hAnsi="Times New Roman" w:cs="Times New Roman"/>
              </w:rPr>
              <w:t>2</w:t>
            </w:r>
          </w:p>
        </w:tc>
        <w:tc>
          <w:tcPr>
            <w:tcW w:w="1170" w:type="dxa"/>
            <w:tcBorders>
              <w:left w:val="single" w:sz="4" w:space="0" w:color="auto"/>
              <w:right w:val="single" w:sz="4" w:space="0" w:color="auto"/>
            </w:tcBorders>
            <w:shd w:val="clear" w:color="000000" w:fill="FFFFFF"/>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100641977</w:t>
            </w:r>
          </w:p>
        </w:tc>
        <w:tc>
          <w:tcPr>
            <w:tcW w:w="878" w:type="dxa"/>
            <w:tcBorders>
              <w:left w:val="single" w:sz="4" w:space="0" w:color="auto"/>
              <w:right w:val="single" w:sz="4" w:space="0" w:color="auto"/>
            </w:tcBorders>
            <w:shd w:val="clear" w:color="000000" w:fill="FFFFFF"/>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52.61-</w:t>
            </w:r>
            <w:r w:rsidRPr="001C3802">
              <w:rPr>
                <w:rFonts w:ascii="Times New Roman" w:eastAsia="Arial" w:hAnsi="Times New Roman" w:cs="Times New Roman"/>
              </w:rPr>
              <w:br/>
              <w:t>56.77</w:t>
            </w:r>
          </w:p>
        </w:tc>
        <w:tc>
          <w:tcPr>
            <w:tcW w:w="2220" w:type="dxa"/>
            <w:tcBorders>
              <w:left w:val="single" w:sz="4" w:space="0" w:color="auto"/>
              <w:right w:val="single" w:sz="4" w:space="0" w:color="auto"/>
            </w:tcBorders>
            <w:shd w:val="clear" w:color="000000" w:fill="FFFFFF"/>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fldChar w:fldCharType="begin"/>
            </w:r>
            <w:r w:rsidRPr="001C3802">
              <w:rPr>
                <w:rFonts w:ascii="Times New Roman" w:eastAsia="Arial" w:hAnsi="Times New Roman" w:cs="Times New Roman"/>
              </w:rPr>
              <w:instrText xml:space="preserve"> ADDIN ZOTERO_ITEM CSL_CITATION {"citationID":"x6LOax2k","properties":{"formattedCitation":"(Druka et al., 2011)","plainCitation":"(Druka et al., 2011)","noteIndex":0},"citationItems":[{"id":2380,"uris":["http://zotero.org/groups/328762/items/468FCBEP"],"uri":["http://zotero.org/groups/328762/items/468FCBEP"],"itemData":{"id":2380,"type":"article-journal","title":"Genetic Dissection of Barley Morphology and Development","container-title":"Plant Physiology","page":"617-627","volume":"155","issue":"2","source":"www.plantphysiol.org","abstract":"Since the early 20th century, barley (Hordeum vulgare) has been a model for investigating the effects of physical and chemical mutagens and for exploring the potential of mutation breeding in crop improvement. As a consequence, extensive and well-characterized collections of morphological and developmental mutants have been assembled that represent a valuable resource for exploring a wide range of complex and fundamental biological processes. We constructed a collection of 881 backcrossed lines containing mutant alleles that induce a majority of the morphological and developmental variation described in this species. After genotyping these lines with up to 3,072 single nucleotide polymorphisms, comparison to their recurrent parent defined the genetic location of 426 mutant alleles to chromosomal segments, each representing on average &lt;3% of the barley genetic map. We show how the gene content in these segments can be predicted through conservation of synteny with model cereal genomes, providing a route to rapid gene identification.","DOI":"10.1104/pp.110.166249","ISSN":"0032-0889, 1532-2548","note":"PMID: 21088227","journalAbbreviation":"Plant Physiol.","language":"en","author":[{"family":"Druka","given":"Arnis"},{"family":"Franckowiak","given":"Jerome"},{"family":"Lundqvist","given":"Udda"},{"family":"Bonar","given":"Nicola"},{"family":"Alexander","given":"Jill"},{"family":"Houston","given":"Kelly"},{"family":"Radovic","given":"Slobodanka"},{"family":"Shahinnia","given":"Fahimeh"},{"family":"Vendramin","given":"Vera"},{"family":"Morgante","given":"Michele"},{"family":"Stein","given":"Nils"},{"family":"Waugh","given":"Robbie"}],"issued":{"date-parts":[["2011",2,1]]}}}],"schema":"https://github.com/citation-style-language/schema/raw/master/csl-citation.json"} </w:instrText>
            </w:r>
            <w:r w:rsidRPr="001C3802">
              <w:rPr>
                <w:rFonts w:ascii="Times New Roman" w:eastAsia="Arial" w:hAnsi="Times New Roman" w:cs="Times New Roman"/>
              </w:rPr>
              <w:fldChar w:fldCharType="separate"/>
            </w:r>
            <w:r w:rsidR="003B3687" w:rsidRPr="003B3687">
              <w:rPr>
                <w:rFonts w:ascii="Times New Roman" w:hAnsi="Times New Roman" w:cs="Times New Roman"/>
              </w:rPr>
              <w:t>(Druka et al., 2011)</w:t>
            </w:r>
            <w:r w:rsidRPr="001C3802">
              <w:rPr>
                <w:rFonts w:ascii="Times New Roman" w:eastAsia="Arial" w:hAnsi="Times New Roman" w:cs="Times New Roman"/>
              </w:rPr>
              <w:fldChar w:fldCharType="end"/>
            </w:r>
          </w:p>
        </w:tc>
      </w:tr>
      <w:tr w:rsidR="001C3802" w:rsidRPr="001C3802" w:rsidTr="00221BDF">
        <w:trPr>
          <w:trHeight w:val="520"/>
          <w:jc w:val="center"/>
        </w:trPr>
        <w:tc>
          <w:tcPr>
            <w:tcW w:w="2336" w:type="dxa"/>
            <w:tcBorders>
              <w:left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NA</w:t>
            </w:r>
          </w:p>
        </w:tc>
        <w:tc>
          <w:tcPr>
            <w:tcW w:w="2681" w:type="dxa"/>
            <w:tcBorders>
              <w:left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rPr>
                <w:rFonts w:ascii="Times New Roman" w:eastAsia="Arial" w:hAnsi="Times New Roman" w:cs="Times New Roman"/>
                <w:i/>
              </w:rPr>
            </w:pPr>
            <w:r w:rsidRPr="001C3802">
              <w:rPr>
                <w:rFonts w:ascii="Times New Roman" w:eastAsia="Arial" w:hAnsi="Times New Roman" w:cs="Times New Roman"/>
                <w:i/>
              </w:rPr>
              <w:t>absent lower laterals (als)</w:t>
            </w:r>
          </w:p>
        </w:tc>
        <w:tc>
          <w:tcPr>
            <w:tcW w:w="3132" w:type="dxa"/>
            <w:tcBorders>
              <w:left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NA</w:t>
            </w:r>
          </w:p>
        </w:tc>
        <w:tc>
          <w:tcPr>
            <w:tcW w:w="448" w:type="dxa"/>
            <w:tcBorders>
              <w:left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jc w:val="center"/>
              <w:rPr>
                <w:rFonts w:ascii="Times New Roman" w:eastAsia="Arial" w:hAnsi="Times New Roman" w:cs="Times New Roman"/>
              </w:rPr>
            </w:pPr>
            <w:r w:rsidRPr="001C3802">
              <w:rPr>
                <w:rFonts w:ascii="Times New Roman" w:eastAsia="Arial" w:hAnsi="Times New Roman" w:cs="Times New Roman"/>
              </w:rPr>
              <w:t>3</w:t>
            </w:r>
          </w:p>
        </w:tc>
        <w:tc>
          <w:tcPr>
            <w:tcW w:w="1170" w:type="dxa"/>
            <w:tcBorders>
              <w:left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601474414</w:t>
            </w:r>
          </w:p>
        </w:tc>
        <w:tc>
          <w:tcPr>
            <w:tcW w:w="878" w:type="dxa"/>
            <w:tcBorders>
              <w:left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86.44-</w:t>
            </w:r>
            <w:r w:rsidRPr="001C3802">
              <w:rPr>
                <w:rFonts w:ascii="Times New Roman" w:eastAsia="Arial" w:hAnsi="Times New Roman" w:cs="Times New Roman"/>
              </w:rPr>
              <w:br/>
              <w:t>109.61</w:t>
            </w:r>
          </w:p>
        </w:tc>
        <w:tc>
          <w:tcPr>
            <w:tcW w:w="2220" w:type="dxa"/>
            <w:tcBorders>
              <w:left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fldChar w:fldCharType="begin"/>
            </w:r>
            <w:r w:rsidRPr="001C3802">
              <w:rPr>
                <w:rFonts w:ascii="Times New Roman" w:eastAsia="Arial" w:hAnsi="Times New Roman" w:cs="Times New Roman"/>
              </w:rPr>
              <w:instrText xml:space="preserve"> ADDIN ZOTERO_ITEM CSL_CITATION {"citationID":"5WpPcg1U","properties":{"formattedCitation":"(Druka et al., 2011)","plainCitation":"(Druka et al., 2011)","noteIndex":0},"citationItems":[{"id":2380,"uris":["http://zotero.org/groups/328762/items/468FCBEP"],"uri":["http://zotero.org/groups/328762/items/468FCBEP"],"itemData":{"id":2380,"type":"article-journal","title":"Genetic Dissection of Barley Morphology and Development","container-title":"Plant Physiology","page":"617-627","volume":"155","issue":"2","source":"www.plantphysiol.org","abstract":"Since the early 20th century, barley (Hordeum vulgare) has been a model for investigating the effects of physical and chemical mutagens and for exploring the potential of mutation breeding in crop improvement. As a consequence, extensive and well-characterized collections of morphological and developmental mutants have been assembled that represent a valuable resource for exploring a wide range of complex and fundamental biological processes. We constructed a collection of 881 backcrossed lines containing mutant alleles that induce a majority of the morphological and developmental variation described in this species. After genotyping these lines with up to 3,072 single nucleotide polymorphisms, comparison to their recurrent parent defined the genetic location of 426 mutant alleles to chromosomal segments, each representing on average &lt;3% of the barley genetic map. We show how the gene content in these segments can be predicted through conservation of synteny with model cereal genomes, providing a route to rapid gene identification.","DOI":"10.1104/pp.110.166249","ISSN":"0032-0889, 1532-2548","note":"PMID: 21088227","journalAbbreviation":"Plant Physiol.","language":"en","author":[{"family":"Druka","given":"Arnis"},{"family":"Franckowiak","given":"Jerome"},{"family":"Lundqvist","given":"Udda"},{"family":"Bonar","given":"Nicola"},{"family":"Alexander","given":"Jill"},{"family":"Houston","given":"Kelly"},{"family":"Radovic","given":"Slobodanka"},{"family":"Shahinnia","given":"Fahimeh"},{"family":"Vendramin","given":"Vera"},{"family":"Morgante","given":"Michele"},{"family":"Stein","given":"Nils"},{"family":"Waugh","given":"Robbie"}],"issued":{"date-parts":[["2011",2,1]]}}}],"schema":"https://github.com/citation-style-language/schema/raw/master/csl-citation.json"} </w:instrText>
            </w:r>
            <w:r w:rsidRPr="001C3802">
              <w:rPr>
                <w:rFonts w:ascii="Times New Roman" w:eastAsia="Arial" w:hAnsi="Times New Roman" w:cs="Times New Roman"/>
              </w:rPr>
              <w:fldChar w:fldCharType="separate"/>
            </w:r>
            <w:r w:rsidR="003B3687" w:rsidRPr="003B3687">
              <w:rPr>
                <w:rFonts w:ascii="Times New Roman" w:hAnsi="Times New Roman" w:cs="Times New Roman"/>
              </w:rPr>
              <w:t>(Druka et al., 2011)</w:t>
            </w:r>
            <w:r w:rsidRPr="001C3802">
              <w:rPr>
                <w:rFonts w:ascii="Times New Roman" w:eastAsia="Arial" w:hAnsi="Times New Roman" w:cs="Times New Roman"/>
              </w:rPr>
              <w:fldChar w:fldCharType="end"/>
            </w:r>
          </w:p>
        </w:tc>
      </w:tr>
      <w:tr w:rsidR="001C3802" w:rsidRPr="001C3802" w:rsidTr="00221BDF">
        <w:trPr>
          <w:trHeight w:val="520"/>
          <w:jc w:val="center"/>
        </w:trPr>
        <w:tc>
          <w:tcPr>
            <w:tcW w:w="2336" w:type="dxa"/>
            <w:tcBorders>
              <w:left w:val="single" w:sz="4" w:space="0" w:color="auto"/>
              <w:right w:val="single" w:sz="4" w:space="0" w:color="auto"/>
            </w:tcBorders>
            <w:shd w:val="clear" w:color="000000" w:fill="FFFFFF"/>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HORVU3Hr1G085720</w:t>
            </w:r>
          </w:p>
        </w:tc>
        <w:tc>
          <w:tcPr>
            <w:tcW w:w="2681" w:type="dxa"/>
            <w:tcBorders>
              <w:left w:val="single" w:sz="4" w:space="0" w:color="auto"/>
              <w:right w:val="single" w:sz="4" w:space="0" w:color="auto"/>
            </w:tcBorders>
            <w:shd w:val="clear" w:color="000000" w:fill="FFFFFF"/>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i/>
              </w:rPr>
              <w:t xml:space="preserve">JUBEL2 </w:t>
            </w:r>
            <w:r w:rsidRPr="001C3802">
              <w:rPr>
                <w:rFonts w:ascii="Times New Roman" w:eastAsia="Arial" w:hAnsi="Times New Roman" w:cs="Times New Roman"/>
              </w:rPr>
              <w:t>or</w:t>
            </w:r>
            <w:r w:rsidRPr="001C3802">
              <w:rPr>
                <w:rFonts w:ascii="Times New Roman" w:eastAsia="Arial" w:hAnsi="Times New Roman" w:cs="Times New Roman"/>
                <w:i/>
              </w:rPr>
              <w:t xml:space="preserve"> LOW NUMBER OF TILLERS 1 </w:t>
            </w:r>
            <w:r w:rsidRPr="001C3802">
              <w:rPr>
                <w:rFonts w:ascii="Times New Roman" w:eastAsia="Arial" w:hAnsi="Times New Roman" w:cs="Times New Roman"/>
              </w:rPr>
              <w:t>(</w:t>
            </w:r>
            <w:r w:rsidRPr="001C3802">
              <w:rPr>
                <w:rFonts w:ascii="Times New Roman" w:eastAsia="Arial" w:hAnsi="Times New Roman" w:cs="Times New Roman"/>
                <w:i/>
              </w:rPr>
              <w:t>LNT1</w:t>
            </w:r>
            <w:r w:rsidRPr="001C3802">
              <w:rPr>
                <w:rFonts w:ascii="Times New Roman" w:eastAsia="Arial" w:hAnsi="Times New Roman" w:cs="Times New Roman"/>
              </w:rPr>
              <w:t>)</w:t>
            </w:r>
          </w:p>
        </w:tc>
        <w:tc>
          <w:tcPr>
            <w:tcW w:w="3132" w:type="dxa"/>
            <w:tcBorders>
              <w:left w:val="single" w:sz="4" w:space="0" w:color="auto"/>
              <w:right w:val="single" w:sz="4" w:space="0" w:color="auto"/>
            </w:tcBorders>
            <w:shd w:val="clear" w:color="000000" w:fill="FFFFFF"/>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 xml:space="preserve">BEL1-like homeodomain </w:t>
            </w:r>
            <w:bookmarkStart w:id="0" w:name="_GoBack"/>
            <w:bookmarkEnd w:id="0"/>
            <w:r w:rsidRPr="001C3802">
              <w:rPr>
                <w:rFonts w:ascii="Times New Roman" w:eastAsia="Arial" w:hAnsi="Times New Roman" w:cs="Times New Roman"/>
              </w:rPr>
              <w:t>transcription factor</w:t>
            </w:r>
          </w:p>
        </w:tc>
        <w:tc>
          <w:tcPr>
            <w:tcW w:w="448" w:type="dxa"/>
            <w:tcBorders>
              <w:left w:val="single" w:sz="4" w:space="0" w:color="auto"/>
              <w:right w:val="single" w:sz="4" w:space="0" w:color="auto"/>
            </w:tcBorders>
            <w:shd w:val="clear" w:color="000000" w:fill="FFFFFF"/>
            <w:vAlign w:val="center"/>
            <w:hideMark/>
          </w:tcPr>
          <w:p w:rsidR="001C3802" w:rsidRPr="001C3802" w:rsidRDefault="001C3802" w:rsidP="001C3802">
            <w:pPr>
              <w:spacing w:after="0" w:line="240" w:lineRule="auto"/>
              <w:jc w:val="center"/>
              <w:rPr>
                <w:rFonts w:ascii="Times New Roman" w:eastAsia="Arial" w:hAnsi="Times New Roman" w:cs="Times New Roman"/>
              </w:rPr>
            </w:pPr>
            <w:r w:rsidRPr="001C3802">
              <w:rPr>
                <w:rFonts w:ascii="Times New Roman" w:eastAsia="Arial" w:hAnsi="Times New Roman" w:cs="Times New Roman"/>
              </w:rPr>
              <w:t>3</w:t>
            </w:r>
          </w:p>
        </w:tc>
        <w:tc>
          <w:tcPr>
            <w:tcW w:w="1170" w:type="dxa"/>
            <w:tcBorders>
              <w:left w:val="single" w:sz="4" w:space="0" w:color="auto"/>
              <w:right w:val="single" w:sz="4" w:space="0" w:color="auto"/>
            </w:tcBorders>
            <w:shd w:val="clear" w:color="000000" w:fill="FFFFFF"/>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613897933</w:t>
            </w:r>
          </w:p>
        </w:tc>
        <w:tc>
          <w:tcPr>
            <w:tcW w:w="878" w:type="dxa"/>
            <w:tcBorders>
              <w:left w:val="single" w:sz="4" w:space="0" w:color="auto"/>
              <w:right w:val="single" w:sz="4" w:space="0" w:color="auto"/>
            </w:tcBorders>
            <w:shd w:val="clear" w:color="000000" w:fill="FFFFFF"/>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92.71</w:t>
            </w:r>
          </w:p>
        </w:tc>
        <w:tc>
          <w:tcPr>
            <w:tcW w:w="2220" w:type="dxa"/>
            <w:tcBorders>
              <w:left w:val="single" w:sz="4" w:space="0" w:color="auto"/>
              <w:right w:val="single" w:sz="4" w:space="0" w:color="auto"/>
            </w:tcBorders>
            <w:shd w:val="clear" w:color="000000" w:fill="FFFFFF"/>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fldChar w:fldCharType="begin"/>
            </w:r>
            <w:r w:rsidR="003B3687">
              <w:rPr>
                <w:rFonts w:ascii="Times New Roman" w:eastAsia="Arial" w:hAnsi="Times New Roman" w:cs="Times New Roman"/>
              </w:rPr>
              <w:instrText xml:space="preserve"> ADDIN ZOTERO_ITEM CSL_CITATION {"citationID":"mJ8eSaiK","properties":{"formattedCitation":"(Dabbert et al., 2010)","plainCitation":"(Dabbert et al., 2010)","noteIndex":0},"citationItems":[{"id":1137,"uris":["http://zotero.org/groups/328762/items/IXVQUZMA"],"uri":["http://zotero.org/groups/328762/items/IXVQUZMA"],"itemData":{"id":1137,"type":"article-journal","title":"The genetics of barley low-tillering mutants: &lt;i&gt;low number of tillers-1&lt;/i&gt; (&lt;i&gt;lnt1&lt;/i&gt;).","container-title":"Theoretical and applied genetics","page":"705-15","volume":"121","issue":"4","abstract":"Barley (Hordeum vulgare L.) carrying recessive mutations at the Low number of tillers1 (Lnt1) gene does not develop secondary tillers and only develops one to four tillers by maturity. Double mutant analysis determined that the lnt1 mutant was epistatic to five of the six low and high tillering mutants tested. Double mutants of lnt1 and the low tillering mutant intermedium-b (int-b) resulted in a uniculm plant, indicating a synergistic interaction and that Lnt and Int-b function in separate tillering pathways. RNA profiling identified 70 transcripts with either increased or decreased abundance in the lnt1 mutant compared to wild-type. One gene with reduced transcript levels in the lnt1 mutant was the BELL-like homeodomain transcription factor JuBel2. The JuBel2 allele in the lnt1.a mutant contained a frameshift mutation that eliminated most of the predicted polypeptide, indicating that the Lnt1 gene encodes JuBel2. Previous studies with the low-tillering mutant absent lower laterals (als) showed that the tillering phenotypes and genetic interactions of als and lnt1 with other tillering mutants were very similar. However, the transcriptomes were very different; many transcripts annotated as stress and defense response exhibited increased abundance in the als mutant. This difference suggests a functional separation between Als and Lnt1 in the genetic control of tillering.","DOI":"10.1007/s00122-010-1342-5","author":[{"family":"Dabbert","given":"Timothy"},{"family":"Okagaki","given":"Ron J"},{"family":"Cho","given":"Seungho"},{"family":"Heinen","given":"Shane"},{"family":"Boddu","given":"Jayanand"},{"family":"Muehlbauer","given":"Gary J"}],"issued":{"date-parts":[["2010",8]]}}}],"schema":"https://github.com/citation-style-language/schema/raw/master/csl-citation.json"} </w:instrText>
            </w:r>
            <w:r w:rsidRPr="001C3802">
              <w:rPr>
                <w:rFonts w:ascii="Times New Roman" w:eastAsia="Arial" w:hAnsi="Times New Roman" w:cs="Times New Roman"/>
              </w:rPr>
              <w:fldChar w:fldCharType="separate"/>
            </w:r>
            <w:r w:rsidR="003B3687" w:rsidRPr="003B3687">
              <w:rPr>
                <w:rFonts w:ascii="Times New Roman" w:hAnsi="Times New Roman" w:cs="Times New Roman"/>
              </w:rPr>
              <w:t>(Dabbert et al., 2010)</w:t>
            </w:r>
            <w:r w:rsidRPr="001C3802">
              <w:rPr>
                <w:rFonts w:ascii="Times New Roman" w:eastAsia="Arial" w:hAnsi="Times New Roman" w:cs="Times New Roman"/>
              </w:rPr>
              <w:fldChar w:fldCharType="end"/>
            </w:r>
          </w:p>
        </w:tc>
      </w:tr>
      <w:tr w:rsidR="001C3802" w:rsidRPr="001C3802" w:rsidTr="00221BDF">
        <w:trPr>
          <w:trHeight w:val="520"/>
          <w:jc w:val="center"/>
        </w:trPr>
        <w:tc>
          <w:tcPr>
            <w:tcW w:w="2336" w:type="dxa"/>
            <w:tcBorders>
              <w:left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HORVU3Hr1G106880</w:t>
            </w:r>
          </w:p>
        </w:tc>
        <w:tc>
          <w:tcPr>
            <w:tcW w:w="2681" w:type="dxa"/>
            <w:tcBorders>
              <w:left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rPr>
                <w:rFonts w:ascii="Times New Roman" w:eastAsia="Arial" w:hAnsi="Times New Roman" w:cs="Times New Roman"/>
                <w:i/>
              </w:rPr>
            </w:pPr>
            <w:r w:rsidRPr="001C3802">
              <w:rPr>
                <w:rFonts w:ascii="Times New Roman" w:eastAsia="Arial" w:hAnsi="Times New Roman" w:cs="Times New Roman"/>
                <w:i/>
              </w:rPr>
              <w:t xml:space="preserve">UNICULME4 </w:t>
            </w:r>
            <w:r w:rsidRPr="001C3802">
              <w:rPr>
                <w:rFonts w:ascii="Times New Roman" w:eastAsia="Arial" w:hAnsi="Times New Roman" w:cs="Times New Roman"/>
              </w:rPr>
              <w:t>(</w:t>
            </w:r>
            <w:r w:rsidRPr="001C3802">
              <w:rPr>
                <w:rFonts w:ascii="Times New Roman" w:eastAsia="Arial" w:hAnsi="Times New Roman" w:cs="Times New Roman"/>
                <w:i/>
              </w:rPr>
              <w:t>CUL4</w:t>
            </w:r>
            <w:r w:rsidRPr="001C3802">
              <w:rPr>
                <w:rFonts w:ascii="Times New Roman" w:eastAsia="Arial" w:hAnsi="Times New Roman" w:cs="Times New Roman"/>
              </w:rPr>
              <w:t>)</w:t>
            </w:r>
          </w:p>
        </w:tc>
        <w:tc>
          <w:tcPr>
            <w:tcW w:w="3132" w:type="dxa"/>
            <w:tcBorders>
              <w:left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BLADE-ON-PETIOLE (BOP) 1/2-like BTB-ankyrin repeat containing protein</w:t>
            </w:r>
          </w:p>
        </w:tc>
        <w:tc>
          <w:tcPr>
            <w:tcW w:w="448" w:type="dxa"/>
            <w:tcBorders>
              <w:left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jc w:val="center"/>
              <w:rPr>
                <w:rFonts w:ascii="Times New Roman" w:eastAsia="Arial" w:hAnsi="Times New Roman" w:cs="Times New Roman"/>
              </w:rPr>
            </w:pPr>
            <w:r w:rsidRPr="001C3802">
              <w:rPr>
                <w:rFonts w:ascii="Times New Roman" w:eastAsia="Arial" w:hAnsi="Times New Roman" w:cs="Times New Roman"/>
              </w:rPr>
              <w:t>3</w:t>
            </w:r>
          </w:p>
        </w:tc>
        <w:tc>
          <w:tcPr>
            <w:tcW w:w="1170" w:type="dxa"/>
            <w:tcBorders>
              <w:left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671495852</w:t>
            </w:r>
          </w:p>
        </w:tc>
        <w:tc>
          <w:tcPr>
            <w:tcW w:w="878" w:type="dxa"/>
            <w:tcBorders>
              <w:left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137.71</w:t>
            </w:r>
          </w:p>
        </w:tc>
        <w:tc>
          <w:tcPr>
            <w:tcW w:w="2220" w:type="dxa"/>
            <w:tcBorders>
              <w:left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fldChar w:fldCharType="begin"/>
            </w:r>
            <w:r w:rsidRPr="001C3802">
              <w:rPr>
                <w:rFonts w:ascii="Times New Roman" w:eastAsia="Arial" w:hAnsi="Times New Roman" w:cs="Times New Roman"/>
              </w:rPr>
              <w:instrText xml:space="preserve"> ADDIN ZOTERO_ITEM CSL_CITATION {"citationID":"gn8BekrC","properties":{"formattedCitation":"(Tavakol et al., 2015)","plainCitation":"(Tavakol et al., 2015)","noteIndex":0},"citationItems":[{"id":5636,"uris":["http://zotero.org/groups/328762/items/GN9XPUEK"],"uri":["http://zotero.org/groups/328762/items/GN9XPUEK"],"itemData":{"id":5636,"type":"article-journal","title":"The Barley &lt;i&gt;Uniculme4&lt;/i&gt; Gene Encodes a BLADE-ON-PETIOLE-Like Protein That Controls Tillering and Leaf Patterning","container-title":"Plant Physiology","page":"164-174","volume":"168","issue":"1","source":"www.plantphysiol.org.ezp3.lib.umn.edu","abstract":"Tillers are vegetative branches that develop from axillary buds located in the leaf axils at the base of many grasses. Genetic manipulation of tillering is a major objective in breeding for improved cereal yields and competition with weeds. Despite this, very little is known about the molecular genetic bases of tiller development in important Triticeae crops such as barley (Hordeum vulgare) and wheat (Triticum aestivum). Recessive mutations at the barley Uniculme4 (Cul4) locus cause reduced tillering, deregulation of the number of axillary buds in an axil, and alterations in leaf proximal-distal patterning. We isolated the Cul4 gene by positional cloning and showed that it encodes a BROAD-COMPLEX, TRAMTRACK, BRIC-À-BRAC-ankyrin protein closely related to Arabidopsis (Arabidopsis thaliana) BLADE-ON-PETIOLE1 (BOP1) and BOP2. Morphological, histological, and in situ RNA expression analyses indicate that Cul4 acts at axil and leaf boundary regions to control axillary bud differentiation as well as the development of the ligule, which separates the distal blade and proximal sheath of the leaf. As, to our knowledge, the first functionally characterized BOP gene in monocots, Cul4 suggests the partial conservation of BOP gene function between dicots and monocots, while phylogenetic analyses highlight distinct evolutionary patterns in the two lineages.","DOI":"10.1104/pp.114.252882","ISSN":"0032-0889, 1532-2548","note":"PMID: 25818702","language":"en","author":[{"family":"Tavakol","given":"Elahe"},{"family":"Okagaki","given":"Ron"},{"family":"Verderio","given":"Gabriele"},{"family":"J","given":"Vahid Shariati"},{"family":"Hussien","given":"Ahmed"},{"family":"Bilgic","given":"Hatice"},{"family":"Scanlon","given":"Mike J."},{"family":"Todt","given":"Natalie R."},{"family":"Close","given":"Timothy J."},{"family":"Druka","given":"Arnis"},{"family":"Waugh","given":"Robbie"},{"family":"Steuernagel","given":"Burkhard"},{"family":"Ariyadasa","given":"Ruvini"},{"family":"Himmelbach","given":"Axel"},{"family":"Stein","given":"Nils"},{"family":"Muehlbauer","given":"Gary J."},{"family":"Rossini","given":"Laura"}],"issued":{"date-parts":[["2015",5,1]]}}}],"schema":"https://github.com/citation-style-language/schema/raw/master/csl-citation.json"} </w:instrText>
            </w:r>
            <w:r w:rsidRPr="001C3802">
              <w:rPr>
                <w:rFonts w:ascii="Times New Roman" w:eastAsia="Arial" w:hAnsi="Times New Roman" w:cs="Times New Roman"/>
              </w:rPr>
              <w:fldChar w:fldCharType="separate"/>
            </w:r>
            <w:r w:rsidR="003B3687" w:rsidRPr="003B3687">
              <w:rPr>
                <w:rFonts w:ascii="Times New Roman" w:hAnsi="Times New Roman" w:cs="Times New Roman"/>
              </w:rPr>
              <w:t>(Tavakol et al., 2015)</w:t>
            </w:r>
            <w:r w:rsidRPr="001C3802">
              <w:rPr>
                <w:rFonts w:ascii="Times New Roman" w:eastAsia="Arial" w:hAnsi="Times New Roman" w:cs="Times New Roman"/>
              </w:rPr>
              <w:fldChar w:fldCharType="end"/>
            </w:r>
          </w:p>
        </w:tc>
      </w:tr>
      <w:tr w:rsidR="001C3802" w:rsidRPr="001C3802" w:rsidTr="00221BDF">
        <w:trPr>
          <w:trHeight w:val="520"/>
          <w:jc w:val="center"/>
        </w:trPr>
        <w:tc>
          <w:tcPr>
            <w:tcW w:w="2336" w:type="dxa"/>
            <w:tcBorders>
              <w:left w:val="single" w:sz="4" w:space="0" w:color="auto"/>
              <w:right w:val="single" w:sz="4" w:space="0" w:color="auto"/>
            </w:tcBorders>
            <w:shd w:val="clear" w:color="000000" w:fill="FFFFFF"/>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HORVU4Hr1G007040</w:t>
            </w:r>
          </w:p>
        </w:tc>
        <w:tc>
          <w:tcPr>
            <w:tcW w:w="2681" w:type="dxa"/>
            <w:tcBorders>
              <w:left w:val="single" w:sz="4" w:space="0" w:color="auto"/>
              <w:right w:val="single" w:sz="4" w:space="0" w:color="auto"/>
            </w:tcBorders>
            <w:shd w:val="clear" w:color="000000" w:fill="FFFFFF"/>
            <w:vAlign w:val="center"/>
            <w:hideMark/>
          </w:tcPr>
          <w:p w:rsidR="001C3802" w:rsidRPr="001C3802" w:rsidRDefault="001C3802" w:rsidP="001C3802">
            <w:pPr>
              <w:spacing w:after="0" w:line="240" w:lineRule="auto"/>
              <w:rPr>
                <w:rFonts w:ascii="Times New Roman" w:eastAsia="Arial" w:hAnsi="Times New Roman" w:cs="Times New Roman"/>
                <w:i/>
              </w:rPr>
            </w:pPr>
            <w:r w:rsidRPr="001C3802">
              <w:rPr>
                <w:rFonts w:ascii="Times New Roman" w:eastAsia="Arial" w:hAnsi="Times New Roman" w:cs="Times New Roman"/>
                <w:i/>
              </w:rPr>
              <w:t xml:space="preserve">INTERMEDIUM-C </w:t>
            </w:r>
            <w:r w:rsidRPr="001C3802">
              <w:rPr>
                <w:rFonts w:ascii="Times New Roman" w:eastAsia="Arial" w:hAnsi="Times New Roman" w:cs="Times New Roman"/>
              </w:rPr>
              <w:t>(</w:t>
            </w:r>
            <w:r w:rsidRPr="001C3802">
              <w:rPr>
                <w:rFonts w:ascii="Times New Roman" w:eastAsia="Arial" w:hAnsi="Times New Roman" w:cs="Times New Roman"/>
                <w:i/>
              </w:rPr>
              <w:t>INT-C</w:t>
            </w:r>
            <w:r w:rsidRPr="001C3802">
              <w:rPr>
                <w:rFonts w:ascii="Times New Roman" w:eastAsia="Arial" w:hAnsi="Times New Roman" w:cs="Times New Roman"/>
              </w:rPr>
              <w:t>)</w:t>
            </w:r>
            <w:r w:rsidR="00855350">
              <w:rPr>
                <w:rFonts w:ascii="Times New Roman" w:eastAsia="Arial" w:hAnsi="Times New Roman" w:cs="Times New Roman"/>
              </w:rPr>
              <w:t>/</w:t>
            </w:r>
            <w:proofErr w:type="spellStart"/>
            <w:r w:rsidR="00855350" w:rsidRPr="00855350">
              <w:rPr>
                <w:rFonts w:ascii="Times New Roman" w:eastAsia="Arial" w:hAnsi="Times New Roman" w:cs="Times New Roman"/>
                <w:i/>
              </w:rPr>
              <w:t>HvTEOSINTE</w:t>
            </w:r>
            <w:proofErr w:type="spellEnd"/>
            <w:r w:rsidR="00855350" w:rsidRPr="00855350">
              <w:rPr>
                <w:rFonts w:ascii="Times New Roman" w:eastAsia="Arial" w:hAnsi="Times New Roman" w:cs="Times New Roman"/>
                <w:i/>
              </w:rPr>
              <w:t>-BRANCHED 1</w:t>
            </w:r>
            <w:r w:rsidR="00855350">
              <w:rPr>
                <w:rFonts w:ascii="Times New Roman" w:eastAsia="Arial" w:hAnsi="Times New Roman" w:cs="Times New Roman"/>
              </w:rPr>
              <w:t xml:space="preserve"> (</w:t>
            </w:r>
            <w:r w:rsidR="00855350" w:rsidRPr="00855350">
              <w:rPr>
                <w:rFonts w:ascii="Times New Roman" w:eastAsia="Arial" w:hAnsi="Times New Roman" w:cs="Times New Roman"/>
                <w:i/>
              </w:rPr>
              <w:t>HvTB1</w:t>
            </w:r>
            <w:r w:rsidR="00855350">
              <w:rPr>
                <w:rFonts w:ascii="Times New Roman" w:eastAsia="Arial" w:hAnsi="Times New Roman" w:cs="Times New Roman"/>
              </w:rPr>
              <w:t>)</w:t>
            </w:r>
          </w:p>
        </w:tc>
        <w:tc>
          <w:tcPr>
            <w:tcW w:w="3132" w:type="dxa"/>
            <w:tcBorders>
              <w:left w:val="single" w:sz="4" w:space="0" w:color="auto"/>
              <w:right w:val="single" w:sz="4" w:space="0" w:color="auto"/>
            </w:tcBorders>
            <w:shd w:val="clear" w:color="000000" w:fill="FFFFFF"/>
            <w:vAlign w:val="center"/>
            <w:hideMark/>
          </w:tcPr>
          <w:p w:rsidR="001C3802" w:rsidRPr="001C3802" w:rsidRDefault="001C3802" w:rsidP="00855350">
            <w:pPr>
              <w:spacing w:after="0" w:line="240" w:lineRule="auto"/>
              <w:rPr>
                <w:rFonts w:ascii="Times New Roman" w:eastAsia="Arial" w:hAnsi="Times New Roman" w:cs="Times New Roman"/>
              </w:rPr>
            </w:pPr>
            <w:r w:rsidRPr="001C3802">
              <w:rPr>
                <w:rFonts w:ascii="Times New Roman" w:eastAsia="Arial" w:hAnsi="Times New Roman" w:cs="Times New Roman"/>
              </w:rPr>
              <w:t xml:space="preserve">TCP transcription factor </w:t>
            </w:r>
          </w:p>
        </w:tc>
        <w:tc>
          <w:tcPr>
            <w:tcW w:w="448" w:type="dxa"/>
            <w:tcBorders>
              <w:left w:val="single" w:sz="4" w:space="0" w:color="auto"/>
              <w:right w:val="single" w:sz="4" w:space="0" w:color="auto"/>
            </w:tcBorders>
            <w:shd w:val="clear" w:color="000000" w:fill="FFFFFF"/>
            <w:vAlign w:val="center"/>
            <w:hideMark/>
          </w:tcPr>
          <w:p w:rsidR="001C3802" w:rsidRPr="001C3802" w:rsidRDefault="001C3802" w:rsidP="001C3802">
            <w:pPr>
              <w:spacing w:after="0" w:line="240" w:lineRule="auto"/>
              <w:jc w:val="center"/>
              <w:rPr>
                <w:rFonts w:ascii="Times New Roman" w:eastAsia="Arial" w:hAnsi="Times New Roman" w:cs="Times New Roman"/>
              </w:rPr>
            </w:pPr>
            <w:r w:rsidRPr="001C3802">
              <w:rPr>
                <w:rFonts w:ascii="Times New Roman" w:eastAsia="Arial" w:hAnsi="Times New Roman" w:cs="Times New Roman"/>
              </w:rPr>
              <w:t>4</w:t>
            </w:r>
          </w:p>
        </w:tc>
        <w:tc>
          <w:tcPr>
            <w:tcW w:w="1170" w:type="dxa"/>
            <w:tcBorders>
              <w:left w:val="single" w:sz="4" w:space="0" w:color="auto"/>
              <w:right w:val="single" w:sz="4" w:space="0" w:color="auto"/>
            </w:tcBorders>
            <w:shd w:val="clear" w:color="000000" w:fill="FFFFFF"/>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17599033</w:t>
            </w:r>
          </w:p>
        </w:tc>
        <w:tc>
          <w:tcPr>
            <w:tcW w:w="878" w:type="dxa"/>
            <w:tcBorders>
              <w:left w:val="single" w:sz="4" w:space="0" w:color="auto"/>
              <w:right w:val="single" w:sz="4" w:space="0" w:color="auto"/>
            </w:tcBorders>
            <w:shd w:val="clear" w:color="000000" w:fill="FFFFFF"/>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32.04</w:t>
            </w:r>
          </w:p>
        </w:tc>
        <w:tc>
          <w:tcPr>
            <w:tcW w:w="2220" w:type="dxa"/>
            <w:tcBorders>
              <w:left w:val="single" w:sz="4" w:space="0" w:color="auto"/>
              <w:right w:val="single" w:sz="4" w:space="0" w:color="auto"/>
            </w:tcBorders>
            <w:shd w:val="clear" w:color="000000" w:fill="FFFFFF"/>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fldChar w:fldCharType="begin"/>
            </w:r>
            <w:r w:rsidRPr="001C3802">
              <w:rPr>
                <w:rFonts w:ascii="Times New Roman" w:eastAsia="Arial" w:hAnsi="Times New Roman" w:cs="Times New Roman"/>
              </w:rPr>
              <w:instrText xml:space="preserve"> ADDIN ZOTERO_ITEM CSL_CITATION {"citationID":"KxcYyfx0","properties":{"formattedCitation":"(Ramsay et al., 2011)","plainCitation":"(Ramsay et al., 2011)","noteIndex":0},"citationItems":[{"id":2480,"uris":["http://zotero.org/groups/328762/items/P9DFSUAP"],"uri":["http://zotero.org/groups/328762/items/P9DFSUAP"],"itemData":{"id":2480,"type":"article-journal","title":"&lt;i&gt;INTERMEDIUM-C&lt;/i&gt;, a modifier of lateral spikelet fertility in barley, is an ortholog of the maize domestication gene &lt;i&gt;TEOSINTE BRANCHED 1&lt;/i&gt;","container-title":"Nature Genetics","page":"169-172","volume":"43","issue":"2","source":"CrossRef","abstract":"The domestication of cereals has involved common changes\nin morphological features, such as seed size, seed retention\nand modification of vegetative and inflorescence architecture\nthat ultimately contributed to an increase in harvested\nyield1. In barley, this process has resulted in two different\ncultivated types, two-rowed and six-rowed forms, both derived\nfrom the wild two-rowed ancestor, with archaeo-botanical\nevidence indicating the origin of six-rowed barley early in the\ndomestication of the species, some 8,600–8,000 years ago2.\nVariation at SIX-ROWED SPIKE 1 (VRS1) is sufficient to\ncontrol this phenotype. However, phenotypes imposed by\nVRS1 alleles are modified by alleles at the INTERMEDIUM-C\n(INT-C) locus. Here we show that INT-C is an ortholog of\nthe maize domestication gene TEOSINTE BRANCHED 1 (TB1)\nand identify 17 coding mutations in barley TB1 correlated\nwith lateral spikelet fertility phenotypes.","DOI":"10.1038/ng.745","ISSN":"1061-4036, 1546-1718","author":[{"family":"Ramsay","given":"Luke"},{"family":"Comadran","given":"Jordi"},{"family":"Druka","given":"Arnis"},{"family":"Marshall","given":"David F"},{"family":"Thomas","given":"William T B"},{"family":"Macaulay","given":"Malcolm"},{"family":"MacKenzie","given":"Katrin"},{"family":"Simpson","given":"Craig"},{"family":"Fuller","given":"John"},{"family":"Bonar","given":"Nicola"},{"family":"Hayes","given":"Patrick M"},{"family":"Lundqvist","given":"Udda"},{"family":"Franckowiak","given":"Jerome D"},{"family":"Close","given":"Timothy J"},{"family":"Muehlbauer","given":"Gary J"},{"family":"Waugh","given":"Robbie"}],"issued":{"date-parts":[["2011",1,9]]}}}],"schema":"https://github.com/citation-style-language/schema/raw/master/csl-citation.json"} </w:instrText>
            </w:r>
            <w:r w:rsidRPr="001C3802">
              <w:rPr>
                <w:rFonts w:ascii="Times New Roman" w:eastAsia="Arial" w:hAnsi="Times New Roman" w:cs="Times New Roman"/>
              </w:rPr>
              <w:fldChar w:fldCharType="separate"/>
            </w:r>
            <w:r w:rsidR="003B3687" w:rsidRPr="003B3687">
              <w:rPr>
                <w:rFonts w:ascii="Times New Roman" w:hAnsi="Times New Roman" w:cs="Times New Roman"/>
              </w:rPr>
              <w:t>(Ramsay et al., 2011)</w:t>
            </w:r>
            <w:r w:rsidRPr="001C3802">
              <w:rPr>
                <w:rFonts w:ascii="Times New Roman" w:eastAsia="Arial" w:hAnsi="Times New Roman" w:cs="Times New Roman"/>
              </w:rPr>
              <w:fldChar w:fldCharType="end"/>
            </w:r>
          </w:p>
        </w:tc>
      </w:tr>
      <w:tr w:rsidR="001C3802" w:rsidRPr="001C3802" w:rsidTr="00221BDF">
        <w:trPr>
          <w:trHeight w:val="260"/>
          <w:jc w:val="center"/>
        </w:trPr>
        <w:tc>
          <w:tcPr>
            <w:tcW w:w="2336" w:type="dxa"/>
            <w:tcBorders>
              <w:left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HORVU5Hr1G081060</w:t>
            </w:r>
          </w:p>
        </w:tc>
        <w:tc>
          <w:tcPr>
            <w:tcW w:w="2681" w:type="dxa"/>
            <w:tcBorders>
              <w:left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rPr>
                <w:rFonts w:ascii="Times New Roman" w:eastAsia="Arial" w:hAnsi="Times New Roman" w:cs="Times New Roman"/>
                <w:i/>
              </w:rPr>
            </w:pPr>
            <w:r w:rsidRPr="001C3802">
              <w:rPr>
                <w:rFonts w:ascii="Times New Roman" w:eastAsia="Arial" w:hAnsi="Times New Roman" w:cs="Times New Roman"/>
                <w:i/>
              </w:rPr>
              <w:t xml:space="preserve">MANY NODED DWARF </w:t>
            </w:r>
            <w:r w:rsidRPr="001C3802">
              <w:rPr>
                <w:rFonts w:ascii="Times New Roman" w:eastAsia="Arial" w:hAnsi="Times New Roman" w:cs="Times New Roman"/>
              </w:rPr>
              <w:t>(</w:t>
            </w:r>
            <w:r w:rsidRPr="001C3802">
              <w:rPr>
                <w:rFonts w:ascii="Times New Roman" w:eastAsia="Arial" w:hAnsi="Times New Roman" w:cs="Times New Roman"/>
                <w:i/>
              </w:rPr>
              <w:t>MND</w:t>
            </w:r>
            <w:r w:rsidRPr="001C3802">
              <w:rPr>
                <w:rFonts w:ascii="Times New Roman" w:eastAsia="Arial" w:hAnsi="Times New Roman" w:cs="Times New Roman"/>
              </w:rPr>
              <w:t>)</w:t>
            </w:r>
          </w:p>
        </w:tc>
        <w:tc>
          <w:tcPr>
            <w:tcW w:w="3132" w:type="dxa"/>
            <w:tcBorders>
              <w:left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Cytochrome P450 homologous to rice PLASTOCHRON 1</w:t>
            </w:r>
          </w:p>
        </w:tc>
        <w:tc>
          <w:tcPr>
            <w:tcW w:w="448" w:type="dxa"/>
            <w:tcBorders>
              <w:left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jc w:val="center"/>
              <w:rPr>
                <w:rFonts w:ascii="Times New Roman" w:eastAsia="Arial" w:hAnsi="Times New Roman" w:cs="Times New Roman"/>
              </w:rPr>
            </w:pPr>
            <w:r w:rsidRPr="001C3802">
              <w:rPr>
                <w:rFonts w:ascii="Times New Roman" w:eastAsia="Arial" w:hAnsi="Times New Roman" w:cs="Times New Roman"/>
              </w:rPr>
              <w:t>5</w:t>
            </w:r>
          </w:p>
        </w:tc>
        <w:tc>
          <w:tcPr>
            <w:tcW w:w="1170" w:type="dxa"/>
            <w:tcBorders>
              <w:left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562934361</w:t>
            </w:r>
          </w:p>
        </w:tc>
        <w:tc>
          <w:tcPr>
            <w:tcW w:w="878" w:type="dxa"/>
            <w:tcBorders>
              <w:left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97.09</w:t>
            </w:r>
          </w:p>
        </w:tc>
        <w:tc>
          <w:tcPr>
            <w:tcW w:w="2220" w:type="dxa"/>
            <w:tcBorders>
              <w:left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fldChar w:fldCharType="begin"/>
            </w:r>
            <w:r w:rsidR="003B3687">
              <w:rPr>
                <w:rFonts w:ascii="Times New Roman" w:eastAsia="Arial" w:hAnsi="Times New Roman" w:cs="Times New Roman"/>
              </w:rPr>
              <w:instrText xml:space="preserve"> ADDIN ZOTERO_ITEM CSL_CITATION {"citationID":"Sp0lcf6C","properties":{"formattedCitation":"(Mascher et al., 2014)","plainCitation":"(Mascher et al., 2014)","noteIndex":0},"citationItems":[{"id":887,"uris":["http://zotero.org/groups/328762/items/25GNP8ZT"],"uri":["http://zotero.org/groups/328762/items/25GNP8ZT"],"itemData":{"id":887,"type":"article-journal","title":"Mapping-by-sequencing accelerates forward genetics in barley","container-title":"Genome Biology","page":"1-15","volume":"15","issue":"6","source":"genomebiology.com","abstract":"Mapping-by-sequencing has emerged as a powerful technique for genetic mapping in several plant and animal species. As this resequencing-based method requires a reference genome, its application to complex plant genomes with incomplete and fragmented sequence resources remains challenging. We perform exome sequencing of phenotypic bulks of a mapping population of barley segregating for a mutant phenotype that increases the rate of leaf initiation. Read depth analysis identifies a candidate gene, which is confirmed by the analysis of independent mutant alleles. Our method illustrates how the genomic resources of barley together with exome resequencing can underpin mapping-by-sequencing.\nPMID: 24917130","DOI":"10.1186/gb-2014-15-6-r78","ISSN":"1465-6906","note":"PMID: 24917130","language":"en","author":[{"family":"Mascher","given":"Martin"},{"family":"Jost","given":"Matthias"},{"family":"Kuon","given":"Joel-Elias"},{"family":"Himmelbach","given":"Axel"},{"family":"Aßfalg","given":"Axel"},{"family":"Beier","given":"Sebastian"},{"family":"Scholz","given":"Uwe"},{"family":"Graner","given":"Andreas"},{"family":"Stein","given":"Nils"}],"issued":{"date-parts":[["2014",6,10]]}}}],"schema":"https://github.com/citation-style-language/schema/raw/master/csl-citation.json"} </w:instrText>
            </w:r>
            <w:r w:rsidRPr="001C3802">
              <w:rPr>
                <w:rFonts w:ascii="Times New Roman" w:eastAsia="Arial" w:hAnsi="Times New Roman" w:cs="Times New Roman"/>
              </w:rPr>
              <w:fldChar w:fldCharType="separate"/>
            </w:r>
            <w:r w:rsidR="003B3687" w:rsidRPr="003B3687">
              <w:rPr>
                <w:rFonts w:ascii="Times New Roman" w:hAnsi="Times New Roman" w:cs="Times New Roman"/>
              </w:rPr>
              <w:t>(Mascher et al., 2014)</w:t>
            </w:r>
            <w:r w:rsidRPr="001C3802">
              <w:rPr>
                <w:rFonts w:ascii="Times New Roman" w:eastAsia="Arial" w:hAnsi="Times New Roman" w:cs="Times New Roman"/>
              </w:rPr>
              <w:fldChar w:fldCharType="end"/>
            </w:r>
          </w:p>
        </w:tc>
      </w:tr>
      <w:tr w:rsidR="001C3802" w:rsidRPr="001C3802" w:rsidTr="00221BDF">
        <w:trPr>
          <w:trHeight w:val="520"/>
          <w:jc w:val="center"/>
        </w:trPr>
        <w:tc>
          <w:tcPr>
            <w:tcW w:w="2336" w:type="dxa"/>
            <w:tcBorders>
              <w:left w:val="single" w:sz="4" w:space="0" w:color="auto"/>
              <w:right w:val="single" w:sz="4" w:space="0" w:color="auto"/>
            </w:tcBorders>
            <w:shd w:val="clear" w:color="000000" w:fill="FFFFFF"/>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NA</w:t>
            </w:r>
          </w:p>
        </w:tc>
        <w:tc>
          <w:tcPr>
            <w:tcW w:w="2681" w:type="dxa"/>
            <w:tcBorders>
              <w:left w:val="single" w:sz="4" w:space="0" w:color="auto"/>
              <w:right w:val="single" w:sz="4" w:space="0" w:color="auto"/>
            </w:tcBorders>
            <w:shd w:val="clear" w:color="000000" w:fill="FFFFFF"/>
            <w:vAlign w:val="center"/>
            <w:hideMark/>
          </w:tcPr>
          <w:p w:rsidR="001C3802" w:rsidRPr="001C3802" w:rsidRDefault="001C3802" w:rsidP="001C3802">
            <w:pPr>
              <w:spacing w:after="0" w:line="240" w:lineRule="auto"/>
              <w:rPr>
                <w:rFonts w:ascii="Times New Roman" w:eastAsia="Arial" w:hAnsi="Times New Roman" w:cs="Times New Roman"/>
                <w:i/>
              </w:rPr>
            </w:pPr>
            <w:r w:rsidRPr="001C3802">
              <w:rPr>
                <w:rFonts w:ascii="Times New Roman" w:eastAsia="Arial" w:hAnsi="Times New Roman" w:cs="Times New Roman"/>
                <w:i/>
              </w:rPr>
              <w:t xml:space="preserve">uniculm2 </w:t>
            </w:r>
            <w:r w:rsidRPr="001C3802">
              <w:rPr>
                <w:rFonts w:ascii="Times New Roman" w:eastAsia="Arial" w:hAnsi="Times New Roman" w:cs="Times New Roman"/>
              </w:rPr>
              <w:t>(</w:t>
            </w:r>
            <w:r w:rsidRPr="001C3802">
              <w:rPr>
                <w:rFonts w:ascii="Times New Roman" w:eastAsia="Arial" w:hAnsi="Times New Roman" w:cs="Times New Roman"/>
                <w:i/>
              </w:rPr>
              <w:t>cul2</w:t>
            </w:r>
            <w:r w:rsidRPr="001C3802">
              <w:rPr>
                <w:rFonts w:ascii="Times New Roman" w:eastAsia="Arial" w:hAnsi="Times New Roman" w:cs="Times New Roman"/>
              </w:rPr>
              <w:t>)</w:t>
            </w:r>
          </w:p>
        </w:tc>
        <w:tc>
          <w:tcPr>
            <w:tcW w:w="3132" w:type="dxa"/>
            <w:tcBorders>
              <w:left w:val="single" w:sz="4" w:space="0" w:color="auto"/>
              <w:right w:val="single" w:sz="4" w:space="0" w:color="auto"/>
            </w:tcBorders>
            <w:shd w:val="clear" w:color="000000" w:fill="FFFFFF"/>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NA</w:t>
            </w:r>
          </w:p>
        </w:tc>
        <w:tc>
          <w:tcPr>
            <w:tcW w:w="448" w:type="dxa"/>
            <w:tcBorders>
              <w:left w:val="single" w:sz="4" w:space="0" w:color="auto"/>
              <w:right w:val="single" w:sz="4" w:space="0" w:color="auto"/>
            </w:tcBorders>
            <w:shd w:val="clear" w:color="000000" w:fill="FFFFFF"/>
            <w:vAlign w:val="center"/>
            <w:hideMark/>
          </w:tcPr>
          <w:p w:rsidR="001C3802" w:rsidRPr="001C3802" w:rsidRDefault="001C3802" w:rsidP="001C3802">
            <w:pPr>
              <w:spacing w:after="0" w:line="240" w:lineRule="auto"/>
              <w:jc w:val="center"/>
              <w:rPr>
                <w:rFonts w:ascii="Times New Roman" w:eastAsia="Arial" w:hAnsi="Times New Roman" w:cs="Times New Roman"/>
              </w:rPr>
            </w:pPr>
            <w:r w:rsidRPr="001C3802">
              <w:rPr>
                <w:rFonts w:ascii="Times New Roman" w:eastAsia="Arial" w:hAnsi="Times New Roman" w:cs="Times New Roman"/>
              </w:rPr>
              <w:t>6</w:t>
            </w:r>
          </w:p>
        </w:tc>
        <w:tc>
          <w:tcPr>
            <w:tcW w:w="1170" w:type="dxa"/>
            <w:tcBorders>
              <w:left w:val="single" w:sz="4" w:space="0" w:color="auto"/>
              <w:right w:val="single" w:sz="4" w:space="0" w:color="auto"/>
            </w:tcBorders>
            <w:shd w:val="clear" w:color="000000" w:fill="FFFFFF"/>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423193924</w:t>
            </w:r>
          </w:p>
        </w:tc>
        <w:tc>
          <w:tcPr>
            <w:tcW w:w="878" w:type="dxa"/>
            <w:tcBorders>
              <w:left w:val="single" w:sz="4" w:space="0" w:color="auto"/>
              <w:right w:val="single" w:sz="4" w:space="0" w:color="auto"/>
            </w:tcBorders>
            <w:shd w:val="clear" w:color="000000" w:fill="FFFFFF"/>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60.19-</w:t>
            </w:r>
            <w:r w:rsidRPr="001C3802">
              <w:rPr>
                <w:rFonts w:ascii="Times New Roman" w:eastAsia="Arial" w:hAnsi="Times New Roman" w:cs="Times New Roman"/>
              </w:rPr>
              <w:br/>
              <w:t>60.72</w:t>
            </w:r>
          </w:p>
        </w:tc>
        <w:tc>
          <w:tcPr>
            <w:tcW w:w="2220" w:type="dxa"/>
            <w:tcBorders>
              <w:left w:val="single" w:sz="4" w:space="0" w:color="auto"/>
              <w:right w:val="single" w:sz="4" w:space="0" w:color="auto"/>
            </w:tcBorders>
            <w:shd w:val="clear" w:color="000000" w:fill="FFFFFF"/>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fldChar w:fldCharType="begin"/>
            </w:r>
            <w:r w:rsidRPr="001C3802">
              <w:rPr>
                <w:rFonts w:ascii="Times New Roman" w:eastAsia="Arial" w:hAnsi="Times New Roman" w:cs="Times New Roman"/>
              </w:rPr>
              <w:instrText xml:space="preserve"> ADDIN ZOTERO_ITEM CSL_CITATION {"citationID":"Nnp0JRCx","properties":{"formattedCitation":"(Druka et al., 2011; Okagaki et al., 2013)","plainCitation":"(Druka et al., 2011; Okagaki et al., 2013)","noteIndex":0},"citationItems":[{"id":2380,"uris":["http://zotero.org/groups/328762/items/468FCBEP"],"uri":["http://zotero.org/groups/328762/items/468FCBEP"],"itemData":{"id":2380,"type":"article-journal","title":"Genetic Dissection of Barley Morphology and Development","container-title":"Plant Physiology","page":"617-627","volume":"155","issue":"2","source":"www.plantphysiol.org","abstract":"Since the early 20th century, barley (Hordeum vulgare) has been a model for investigating the effects of physical and chemical mutagens and for exploring the potential of mutation breeding in crop improvement. As a consequence, extensive and well-characterized collections of morphological and developmental mutants have been assembled that represent a valuable resource for exploring a wide range of complex and fundamental biological processes. We constructed a collection of 881 backcrossed lines containing mutant alleles that induce a majority of the morphological and developmental variation described in this species. After genotyping these lines with up to 3,072 single nucleotide polymorphisms, comparison to their recurrent parent defined the genetic location of 426 mutant alleles to chromosomal segments, each representing on average &lt;3% of the barley genetic map. We show how the gene content in these segments can be predicted through conservation of synteny with model cereal genomes, providing a route to rapid gene identification.","DOI":"10.1104/pp.110.166249","ISSN":"0032-0889, 1532-2548","note":"PMID: 21088227","journalAbbreviation":"Plant Physiol.","language":"en","author":[{"family":"Druka","given":"Arnis"},{"family":"Franckowiak","given":"Jerome"},{"family":"Lundqvist","given":"Udda"},{"family":"Bonar","given":"Nicola"},{"family":"Alexander","given":"Jill"},{"family":"Houston","given":"Kelly"},{"family":"Radovic","given":"Slobodanka"},{"family":"Shahinnia","given":"Fahimeh"},{"family":"Vendramin","given":"Vera"},{"family":"Morgante","given":"Michele"},{"family":"Stein","given":"Nils"},{"family":"Waugh","given":"Robbie"}],"issued":{"date-parts":[["2011",2,1]]}}},{"id":1143,"uris":["http://zotero.org/groups/328762/items/V4NUSPRI"],"uri":["http://zotero.org/groups/328762/items/V4NUSPRI"],"itemData":{"id":1143,"type":"article-journal","title":"The barley &lt;i&gt;UNICULM2&lt;/i&gt; gene resides in a centromeric region and may be associated with signaling and stress responses.","container-title":"Functional &amp; integrative genomics","page":"33-41","volume":"13","issue":"1","abstract":"Vegetative axillary meristem (AXM) activity results in the production of branches. In barley (Hordeum vulgare L.), vegetative AXM develop in the crown and give rise to modified branches, referred to as tillers. Mutations in the barley low-tillering mutant uniculm2 block vegetative AXM development and prevent tiller development. The objectives of this work were to examine gene expression in wild-type and cul2 mutant plants, fine map the CUL2 gene, and to examine synteny in the CUL2 region in barley with rice. RNA profiling experiments using two near-isogenic line pairs carrying either the cul2 mutant allele or wild-type CUL2 allele in different genetic backgrounds detected 28 unique gene transcripts exhibiting similar patterns of differential accumulation in both genetic backgrounds, indicating that we have identified key genes impacted by the CUL2 gene. Twenty-four genes had higher abundance in uniculm2 mutant tissues, and nearly half of the annotated genes likely function in stress-response or signal transduction pathways. Genetic mapping identified five co-segregating markers in 1,088 F2 individuals. These markers spanned the centromere region on chromosome 6H, and coincided with a 50-cM region on rice chromosome 2, indicating that it may be difficult to positionally clone CUL2. Taken together, the results revealed stress response and signal transduction pathways that are associated with the CUL2 gene, isolating CUL2 via positional cloning approaches that may be difficult, and the remnants of barley-rice synteny in the CUL2 region.","DOI":"10.1007/s10142-012-0299-7","author":[{"family":"Okagaki","given":"Ron J"},{"family":"Cho","given":"Seungho"},{"family":"Kruger","given":"Warren M"},{"family":"Xu","given":"Wayne W"},{"family":"Heinen","given":"Shane"},{"family":"Muehlbauer","given":"Gary J"}],"issued":{"date-parts":[["2013",3]]}}}],"schema":"https://github.com/citation-style-language/schema/raw/master/csl-citation.json"} </w:instrText>
            </w:r>
            <w:r w:rsidRPr="001C3802">
              <w:rPr>
                <w:rFonts w:ascii="Times New Roman" w:eastAsia="Arial" w:hAnsi="Times New Roman" w:cs="Times New Roman"/>
              </w:rPr>
              <w:fldChar w:fldCharType="separate"/>
            </w:r>
            <w:r w:rsidR="003B3687" w:rsidRPr="003B3687">
              <w:rPr>
                <w:rFonts w:ascii="Times New Roman" w:hAnsi="Times New Roman" w:cs="Times New Roman"/>
              </w:rPr>
              <w:t>(Druka et al., 2011; Okagaki et al., 2013)</w:t>
            </w:r>
            <w:r w:rsidRPr="001C3802">
              <w:rPr>
                <w:rFonts w:ascii="Times New Roman" w:eastAsia="Arial" w:hAnsi="Times New Roman" w:cs="Times New Roman"/>
              </w:rPr>
              <w:fldChar w:fldCharType="end"/>
            </w:r>
          </w:p>
        </w:tc>
      </w:tr>
      <w:tr w:rsidR="001C3802" w:rsidRPr="001C3802" w:rsidTr="00221BDF">
        <w:trPr>
          <w:trHeight w:val="260"/>
          <w:jc w:val="center"/>
        </w:trPr>
        <w:tc>
          <w:tcPr>
            <w:tcW w:w="2336" w:type="dxa"/>
            <w:tcBorders>
              <w:left w:val="single" w:sz="4" w:space="0" w:color="auto"/>
              <w:bottom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NA</w:t>
            </w:r>
          </w:p>
        </w:tc>
        <w:tc>
          <w:tcPr>
            <w:tcW w:w="2681" w:type="dxa"/>
            <w:tcBorders>
              <w:left w:val="single" w:sz="4" w:space="0" w:color="auto"/>
              <w:bottom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rPr>
                <w:rFonts w:ascii="Times New Roman" w:eastAsia="Arial" w:hAnsi="Times New Roman" w:cs="Times New Roman"/>
                <w:i/>
              </w:rPr>
            </w:pPr>
            <w:r w:rsidRPr="001C3802">
              <w:rPr>
                <w:rFonts w:ascii="Times New Roman" w:eastAsia="Arial" w:hAnsi="Times New Roman" w:cs="Times New Roman"/>
                <w:i/>
              </w:rPr>
              <w:t xml:space="preserve">granum-a </w:t>
            </w:r>
            <w:r w:rsidRPr="001C3802">
              <w:rPr>
                <w:rFonts w:ascii="Times New Roman" w:eastAsia="Arial" w:hAnsi="Times New Roman" w:cs="Times New Roman"/>
              </w:rPr>
              <w:t>(</w:t>
            </w:r>
            <w:r w:rsidRPr="001C3802">
              <w:rPr>
                <w:rFonts w:ascii="Times New Roman" w:eastAsia="Arial" w:hAnsi="Times New Roman" w:cs="Times New Roman"/>
                <w:i/>
              </w:rPr>
              <w:t>gra-a</w:t>
            </w:r>
            <w:r w:rsidRPr="001C3802">
              <w:rPr>
                <w:rFonts w:ascii="Times New Roman" w:eastAsia="Arial" w:hAnsi="Times New Roman" w:cs="Times New Roman"/>
              </w:rPr>
              <w:t>)</w:t>
            </w:r>
          </w:p>
        </w:tc>
        <w:tc>
          <w:tcPr>
            <w:tcW w:w="3132" w:type="dxa"/>
            <w:tcBorders>
              <w:left w:val="single" w:sz="4" w:space="0" w:color="auto"/>
              <w:bottom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NA</w:t>
            </w:r>
          </w:p>
        </w:tc>
        <w:tc>
          <w:tcPr>
            <w:tcW w:w="448" w:type="dxa"/>
            <w:tcBorders>
              <w:left w:val="single" w:sz="4" w:space="0" w:color="auto"/>
              <w:bottom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jc w:val="center"/>
              <w:rPr>
                <w:rFonts w:ascii="Times New Roman" w:eastAsia="Arial" w:hAnsi="Times New Roman" w:cs="Times New Roman"/>
              </w:rPr>
            </w:pPr>
            <w:r w:rsidRPr="001C3802">
              <w:rPr>
                <w:rFonts w:ascii="Times New Roman" w:eastAsia="Arial" w:hAnsi="Times New Roman" w:cs="Times New Roman"/>
              </w:rPr>
              <w:t>7</w:t>
            </w:r>
          </w:p>
        </w:tc>
        <w:tc>
          <w:tcPr>
            <w:tcW w:w="1170" w:type="dxa"/>
            <w:tcBorders>
              <w:left w:val="single" w:sz="4" w:space="0" w:color="auto"/>
              <w:bottom w:val="single" w:sz="4" w:space="0" w:color="auto"/>
              <w:right w:val="single" w:sz="4" w:space="0" w:color="auto"/>
            </w:tcBorders>
            <w:shd w:val="clear" w:color="000000" w:fill="E8E8E8"/>
            <w:noWrap/>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636617013</w:t>
            </w:r>
          </w:p>
        </w:tc>
        <w:tc>
          <w:tcPr>
            <w:tcW w:w="878" w:type="dxa"/>
            <w:tcBorders>
              <w:left w:val="single" w:sz="4" w:space="0" w:color="auto"/>
              <w:bottom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126.2</w:t>
            </w:r>
          </w:p>
        </w:tc>
        <w:tc>
          <w:tcPr>
            <w:tcW w:w="2220" w:type="dxa"/>
            <w:tcBorders>
              <w:left w:val="single" w:sz="4" w:space="0" w:color="auto"/>
              <w:bottom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fldChar w:fldCharType="begin"/>
            </w:r>
            <w:r w:rsidRPr="001C3802">
              <w:rPr>
                <w:rFonts w:ascii="Times New Roman" w:eastAsia="Arial" w:hAnsi="Times New Roman" w:cs="Times New Roman"/>
              </w:rPr>
              <w:instrText xml:space="preserve"> ADDIN ZOTERO_ITEM CSL_CITATION {"citationID":"0bftrdUj","properties":{"formattedCitation":"(Druka et al., 2011)","plainCitation":"(Druka et al., 2011)","noteIndex":0},"citationItems":[{"id":2380,"uris":["http://zotero.org/groups/328762/items/468FCBEP"],"uri":["http://zotero.org/groups/328762/items/468FCBEP"],"itemData":{"id":2380,"type":"article-journal","title":"Genetic Dissection of Barley Morphology and Development","container-title":"Plant Physiology","page":"617-627","volume":"155","issue":"2","source":"www.plantphysiol.org","abstract":"Since the early 20th century, barley (Hordeum vulgare) has been a model for investigating the effects of physical and chemical mutagens and for exploring the potential of mutation breeding in crop improvement. As a consequence, extensive and well-characterized collections of morphological and developmental mutants have been assembled that represent a valuable resource for exploring a wide range of complex and fundamental biological processes. We constructed a collection of 881 backcrossed lines containing mutant alleles that induce a majority of the morphological and developmental variation described in this species. After genotyping these lines with up to 3,072 single nucleotide polymorphisms, comparison to their recurrent parent defined the genetic location of 426 mutant alleles to chromosomal segments, each representing on average &lt;3% of the barley genetic map. We show how the gene content in these segments can be predicted through conservation of synteny with model cereal genomes, providing a route to rapid gene identification.","DOI":"10.1104/pp.110.166249","ISSN":"0032-0889, 1532-2548","note":"PMID: 21088227","journalAbbreviation":"Plant Physiol.","language":"en","author":[{"family":"Druka","given":"Arnis"},{"family":"Franckowiak","given":"Jerome"},{"family":"Lundqvist","given":"Udda"},{"family":"Bonar","given":"Nicola"},{"family":"Alexander","given":"Jill"},{"family":"Houston","given":"Kelly"},{"family":"Radovic","given":"Slobodanka"},{"family":"Shahinnia","given":"Fahimeh"},{"family":"Vendramin","given":"Vera"},{"family":"Morgante","given":"Michele"},{"family":"Stein","given":"Nils"},{"family":"Waugh","given":"Robbie"}],"issued":{"date-parts":[["2011",2,1]]}}}],"schema":"https://github.com/citation-style-language/schema/raw/master/csl-citation.json"} </w:instrText>
            </w:r>
            <w:r w:rsidRPr="001C3802">
              <w:rPr>
                <w:rFonts w:ascii="Times New Roman" w:eastAsia="Arial" w:hAnsi="Times New Roman" w:cs="Times New Roman"/>
              </w:rPr>
              <w:fldChar w:fldCharType="separate"/>
            </w:r>
            <w:r w:rsidR="003B3687" w:rsidRPr="003B3687">
              <w:rPr>
                <w:rFonts w:ascii="Times New Roman" w:hAnsi="Times New Roman" w:cs="Times New Roman"/>
              </w:rPr>
              <w:t>(Druka et al., 2011)</w:t>
            </w:r>
            <w:r w:rsidRPr="001C3802">
              <w:rPr>
                <w:rFonts w:ascii="Times New Roman" w:eastAsia="Arial" w:hAnsi="Times New Roman" w:cs="Times New Roman"/>
              </w:rPr>
              <w:fldChar w:fldCharType="end"/>
            </w:r>
          </w:p>
        </w:tc>
      </w:tr>
      <w:tr w:rsidR="001C3802" w:rsidRPr="001C3802" w:rsidTr="00221BDF">
        <w:trPr>
          <w:trHeight w:val="260"/>
          <w:jc w:val="center"/>
        </w:trPr>
        <w:tc>
          <w:tcPr>
            <w:tcW w:w="12865" w:type="dxa"/>
            <w:gridSpan w:val="7"/>
            <w:tcBorders>
              <w:top w:val="single" w:sz="4" w:space="0" w:color="auto"/>
              <w:left w:val="single" w:sz="4" w:space="0" w:color="auto"/>
              <w:bottom w:val="single" w:sz="4" w:space="0" w:color="auto"/>
              <w:right w:val="single" w:sz="4" w:space="0" w:color="auto"/>
            </w:tcBorders>
            <w:shd w:val="clear" w:color="000000" w:fill="FFFFFF"/>
            <w:vAlign w:val="center"/>
            <w:hideMark/>
          </w:tcPr>
          <w:p w:rsidR="001C3802" w:rsidRPr="001C3802" w:rsidRDefault="001C3802" w:rsidP="001C3802">
            <w:pPr>
              <w:spacing w:after="0" w:line="240" w:lineRule="auto"/>
              <w:jc w:val="center"/>
              <w:rPr>
                <w:rFonts w:ascii="Times New Roman" w:eastAsia="Arial" w:hAnsi="Times New Roman" w:cs="Times New Roman"/>
              </w:rPr>
            </w:pPr>
            <w:r w:rsidRPr="001C3802">
              <w:rPr>
                <w:rFonts w:ascii="Times New Roman" w:eastAsia="Arial" w:hAnsi="Times New Roman" w:cs="Times New Roman"/>
              </w:rPr>
              <w:t>Circadian Clock and Flowering Genes</w:t>
            </w:r>
          </w:p>
        </w:tc>
      </w:tr>
      <w:tr w:rsidR="001C3802" w:rsidRPr="001C3802" w:rsidTr="00221BDF">
        <w:trPr>
          <w:trHeight w:val="520"/>
          <w:jc w:val="center"/>
        </w:trPr>
        <w:tc>
          <w:tcPr>
            <w:tcW w:w="2336" w:type="dxa"/>
            <w:tcBorders>
              <w:top w:val="single" w:sz="4" w:space="0" w:color="auto"/>
              <w:left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HORVU1Hr1G076430</w:t>
            </w:r>
          </w:p>
        </w:tc>
        <w:tc>
          <w:tcPr>
            <w:tcW w:w="2681" w:type="dxa"/>
            <w:tcBorders>
              <w:top w:val="single" w:sz="4" w:space="0" w:color="auto"/>
              <w:left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rPr>
                <w:rFonts w:ascii="Times New Roman" w:eastAsia="Arial" w:hAnsi="Times New Roman" w:cs="Times New Roman"/>
                <w:i/>
              </w:rPr>
            </w:pPr>
            <w:r w:rsidRPr="001C3802">
              <w:rPr>
                <w:rFonts w:ascii="Times New Roman" w:eastAsia="Arial" w:hAnsi="Times New Roman" w:cs="Times New Roman"/>
                <w:i/>
              </w:rPr>
              <w:t xml:space="preserve">PHOTOPERIOD-H2 </w:t>
            </w:r>
            <w:r w:rsidRPr="001C3802">
              <w:rPr>
                <w:rFonts w:ascii="Times New Roman" w:eastAsia="Arial" w:hAnsi="Times New Roman" w:cs="Times New Roman"/>
              </w:rPr>
              <w:t>(</w:t>
            </w:r>
            <w:r w:rsidRPr="001C3802">
              <w:rPr>
                <w:rFonts w:ascii="Times New Roman" w:eastAsia="Arial" w:hAnsi="Times New Roman" w:cs="Times New Roman"/>
                <w:i/>
              </w:rPr>
              <w:t>PPD-H2</w:t>
            </w:r>
            <w:r w:rsidRPr="001C3802">
              <w:rPr>
                <w:rFonts w:ascii="Times New Roman" w:eastAsia="Arial" w:hAnsi="Times New Roman" w:cs="Times New Roman"/>
              </w:rPr>
              <w:t>)</w:t>
            </w:r>
          </w:p>
        </w:tc>
        <w:tc>
          <w:tcPr>
            <w:tcW w:w="3132" w:type="dxa"/>
            <w:tcBorders>
              <w:top w:val="single" w:sz="4" w:space="0" w:color="auto"/>
              <w:left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FLOWERING LOCUS T-like</w:t>
            </w:r>
          </w:p>
        </w:tc>
        <w:tc>
          <w:tcPr>
            <w:tcW w:w="448" w:type="dxa"/>
            <w:tcBorders>
              <w:top w:val="single" w:sz="4" w:space="0" w:color="auto"/>
              <w:left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jc w:val="center"/>
              <w:rPr>
                <w:rFonts w:ascii="Times New Roman" w:eastAsia="Arial" w:hAnsi="Times New Roman" w:cs="Times New Roman"/>
              </w:rPr>
            </w:pPr>
            <w:r w:rsidRPr="001C3802">
              <w:rPr>
                <w:rFonts w:ascii="Times New Roman" w:eastAsia="Arial" w:hAnsi="Times New Roman" w:cs="Times New Roman"/>
              </w:rPr>
              <w:t>1</w:t>
            </w:r>
          </w:p>
        </w:tc>
        <w:tc>
          <w:tcPr>
            <w:tcW w:w="1170" w:type="dxa"/>
            <w:tcBorders>
              <w:top w:val="single" w:sz="4" w:space="0" w:color="auto"/>
              <w:left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514098182</w:t>
            </w:r>
          </w:p>
        </w:tc>
        <w:tc>
          <w:tcPr>
            <w:tcW w:w="878" w:type="dxa"/>
            <w:tcBorders>
              <w:top w:val="single" w:sz="4" w:space="0" w:color="auto"/>
              <w:left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94.01</w:t>
            </w:r>
          </w:p>
        </w:tc>
        <w:tc>
          <w:tcPr>
            <w:tcW w:w="2220" w:type="dxa"/>
            <w:tcBorders>
              <w:top w:val="single" w:sz="4" w:space="0" w:color="auto"/>
              <w:left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fldChar w:fldCharType="begin"/>
            </w:r>
            <w:r w:rsidRPr="001C3802">
              <w:rPr>
                <w:rFonts w:ascii="Times New Roman" w:eastAsia="Arial" w:hAnsi="Times New Roman" w:cs="Times New Roman"/>
              </w:rPr>
              <w:instrText xml:space="preserve"> ADDIN ZOTERO_ITEM CSL_CITATION {"citationID":"7i8oIYjG","properties":{"formattedCitation":"(Faure et al., 2007; Laurie et al., 1995)","plainCitation":"(Faure et al., 2007; Laurie et al., 1995)","noteIndex":0},"citationItems":[{"id":4801,"uris":["http://zotero.org/groups/328762/items/IIZYCDAU"],"uri":["http://zotero.org/groups/328762/items/IIZYCDAU"],"itemData":{"id":4801,"type":"article-journal","title":"The &lt;i&gt;FLOWERING LOCUS T-Like &lt;/i&gt;Gene Family in Barley (&lt;i&gt;Hordeum vulgare&lt;/i&gt;)","container-title":"Genetics","page":"599-609","volume":"176","issue":"1","source":"PubMed Central","abstract":"The FLOWERING LOCUS T (FT) gene plays a central role in integrating flowering signals in Arabidopsis because its expression is regulated antagonistically by the photoperiod and vernalization pathways. FT belongs to a family of six genes characterized by a phosphatidylethanolamine-binding protein (PEBP) domain. In rice (Oryza sativa), 19 PEBP genes were previously described, 13 of which are FT-like genes. Five FT-like genes were found in barley (Hordeum vulgare). HvFT1, HvFT2, HvFT3, and HvFT4 were highly homologous to OsFTL2 (the Hd3a QTL), OsFTL1, OsFTL10, and OsFTL12, respectively, and this relationship was supported by comparative mapping. No rice equivalent was found for HvFT5. HvFT1 was highly expressed under long-day (inductive) conditions at the time of the morphological switch of the shoot apex from vegetative to reproductive growth. HvFT2 and HvFT4 were expressed later in development. HvFT1 was therefore identified as the main barley FT-like gene involved in the switch to flowering. Mapping of HvFT genes suggests that they provide important sources of flowering-time variation in barley. HvFTI was a candidate for VRN-H3, a dominant mutation giving precocious flowering, while HvFT3 was a candidate for Ppd-H2, a major QTL affecting flowering time in short days.","DOI":"10.1534/genetics.106.069500","ISSN":"0016-6731","note":"PMID: 17339225\nPMCID: PMC1893030","journalAbbreviation":"Genetics","author":[{"family":"Faure","given":"Sébastien"},{"family":"Higgins","given":"Janet"},{"family":"Turner","given":"Adrian"},{"family":"Laurie","given":"David A."}],"issued":{"date-parts":[["2007",5]]}}},{"id":5706,"uris":["http://zotero.org/groups/328762/items/I4L9B2VZ"],"uri":["http://zotero.org/groups/328762/items/I4L9B2VZ"],"itemData":{"id":5706,"type":"article-journal","title":"RFLP mapping of five major genes and eight quantitative trait loci controlling flowering time in a winter × spring barley (&lt;i&gt;Hordeum vulgare&lt;/i&gt; L.) cross","container-title":"Genome","page":"575-585","volume":"38","issue":"3","source":"NRC Research Press","abstract":"A genetic map of 92 RFLP loci and two storage protein loci was made using 94 doubled-haploid lines from a cross between the winter barley variety Igri and the spring variety Triumph. The markers were combined with data from two field experiments (one spring sown and one autumn (fall) sown) and a glasshouse experiment to locate a total of 13 genes (five major genes and eight quantitative trait loci (QTL)) controlling flowering time. Two photoperiod response genes were found; Ppd-H1 on chromosome 2(2H)S regulated flowering time under long days, while Ppd-H2 on chromosome 5(1H)L was detected only under short days. In the field experiments Ppd-H1 strongly affected flowering time from spring and autumn sowings, while Ppd-H2 was detected only in the autumn sowing. The glasshouse experiment also located two vernalization response genes, probably Sh and Sh2, on chromosomes 4(4H)L and 7(5H)L, respectively. The vernalization response genes had little effect on flowering time in the field. Variation in flowering tim..., Une carte génétique comprenant 92 loci RFLP et deux loci de protéines de réserve a été créée à l'aide de 94 lignées d'haploïdes doublés provenant du croisement entre le cultivar d'orge d'automne Igri et le cultivar d'orge de printemps Triumph. La ségrégation des marqueurs a été étudiée en relation avec les données de deux expériences en champs (un semis printanier et un automnal) ainsi qu'une expérience en serre afin de localiser un total de 13 gènes (cinq gènes majeurs et huit loci de traits quantitatifs (QTLs)) qui contrôlent le temps de floraison. Deux gènes de réponse à la photopériode ont été trouvés : Ppd-H1, situé sur le chromosome 2(2H)S, contrôle le temps de floraison sous jours longs, tandis que Ppd-H2, situé sur le chromosome 5(1H)L, ne se manifeste que sous jours courts. Dans les expériences en champs, le gène Ppd-H1 affectait fortement le temps de floraison, chez les semis d'automne et de printemps, tandis que le gène Ppd-H2 n'a été détecté que chez les semis d'automne. L'expérience en serre ...","DOI":"10.1139/g95-074","ISSN":"0831-2796","journalAbbreviation":"Genome","author":[{"family":"Laurie","given":"D. A."},{"family":"Pratchett","given":"N."},{"family":"Snape","given":"J. W."},{"family":"Bezant","given":"J. H."}],"issued":{"date-parts":[["1995",6,1]]}}}],"schema":"https://github.com/citation-style-language/schema/raw/master/csl-citation.json"} </w:instrText>
            </w:r>
            <w:r w:rsidRPr="001C3802">
              <w:rPr>
                <w:rFonts w:ascii="Times New Roman" w:eastAsia="Arial" w:hAnsi="Times New Roman" w:cs="Times New Roman"/>
              </w:rPr>
              <w:fldChar w:fldCharType="separate"/>
            </w:r>
            <w:r w:rsidR="003B3687" w:rsidRPr="003B3687">
              <w:rPr>
                <w:rFonts w:ascii="Times New Roman" w:hAnsi="Times New Roman" w:cs="Times New Roman"/>
              </w:rPr>
              <w:t>(Faure et al., 2007; Laurie et al., 1995)</w:t>
            </w:r>
            <w:r w:rsidRPr="001C3802">
              <w:rPr>
                <w:rFonts w:ascii="Times New Roman" w:eastAsia="Arial" w:hAnsi="Times New Roman" w:cs="Times New Roman"/>
              </w:rPr>
              <w:fldChar w:fldCharType="end"/>
            </w:r>
          </w:p>
        </w:tc>
      </w:tr>
      <w:tr w:rsidR="001C3802" w:rsidRPr="001C3802" w:rsidTr="00221BDF">
        <w:trPr>
          <w:trHeight w:val="780"/>
          <w:jc w:val="center"/>
        </w:trPr>
        <w:tc>
          <w:tcPr>
            <w:tcW w:w="2336" w:type="dxa"/>
            <w:tcBorders>
              <w:left w:val="single" w:sz="4" w:space="0" w:color="auto"/>
              <w:right w:val="single" w:sz="4" w:space="0" w:color="auto"/>
            </w:tcBorders>
            <w:shd w:val="clear" w:color="000000" w:fill="FFFFFF"/>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HORVU1Hr1G094980</w:t>
            </w:r>
          </w:p>
        </w:tc>
        <w:tc>
          <w:tcPr>
            <w:tcW w:w="2681" w:type="dxa"/>
            <w:tcBorders>
              <w:left w:val="single" w:sz="4" w:space="0" w:color="auto"/>
              <w:right w:val="single" w:sz="4" w:space="0" w:color="auto"/>
            </w:tcBorders>
            <w:shd w:val="clear" w:color="000000" w:fill="FFFFFF"/>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i/>
              </w:rPr>
              <w:t xml:space="preserve">praematurum.a-8 </w:t>
            </w:r>
            <w:r w:rsidRPr="001C3802">
              <w:rPr>
                <w:rFonts w:ascii="Times New Roman" w:eastAsia="Arial" w:hAnsi="Times New Roman" w:cs="Times New Roman"/>
              </w:rPr>
              <w:t>(</w:t>
            </w:r>
            <w:r w:rsidRPr="001C3802">
              <w:rPr>
                <w:rFonts w:ascii="Times New Roman" w:eastAsia="Arial" w:hAnsi="Times New Roman" w:cs="Times New Roman"/>
                <w:i/>
              </w:rPr>
              <w:t>mat.a-8</w:t>
            </w:r>
            <w:r w:rsidRPr="001C3802">
              <w:rPr>
                <w:rFonts w:ascii="Times New Roman" w:eastAsia="Arial" w:hAnsi="Times New Roman" w:cs="Times New Roman"/>
              </w:rPr>
              <w:t>)/</w:t>
            </w:r>
            <w:r w:rsidRPr="001C3802">
              <w:rPr>
                <w:rFonts w:ascii="Times New Roman" w:eastAsia="Arial" w:hAnsi="Times New Roman" w:cs="Times New Roman"/>
              </w:rPr>
              <w:br/>
            </w:r>
            <w:r w:rsidRPr="001C3802">
              <w:rPr>
                <w:rFonts w:ascii="Times New Roman" w:eastAsia="Arial" w:hAnsi="Times New Roman" w:cs="Times New Roman"/>
                <w:i/>
              </w:rPr>
              <w:t xml:space="preserve">early maturity 8 </w:t>
            </w:r>
            <w:r w:rsidRPr="001C3802">
              <w:rPr>
                <w:rFonts w:ascii="Times New Roman" w:eastAsia="Arial" w:hAnsi="Times New Roman" w:cs="Times New Roman"/>
              </w:rPr>
              <w:t>(</w:t>
            </w:r>
            <w:r w:rsidRPr="001C3802">
              <w:rPr>
                <w:rFonts w:ascii="Times New Roman" w:eastAsia="Arial" w:hAnsi="Times New Roman" w:cs="Times New Roman"/>
                <w:i/>
              </w:rPr>
              <w:t>eam8</w:t>
            </w:r>
            <w:r w:rsidRPr="001C3802">
              <w:rPr>
                <w:rFonts w:ascii="Times New Roman" w:eastAsia="Arial" w:hAnsi="Times New Roman" w:cs="Times New Roman"/>
              </w:rPr>
              <w:t>)</w:t>
            </w:r>
          </w:p>
        </w:tc>
        <w:tc>
          <w:tcPr>
            <w:tcW w:w="3132" w:type="dxa"/>
            <w:tcBorders>
              <w:left w:val="single" w:sz="4" w:space="0" w:color="auto"/>
              <w:right w:val="single" w:sz="4" w:space="0" w:color="auto"/>
            </w:tcBorders>
            <w:shd w:val="clear" w:color="000000" w:fill="FFFFFF"/>
            <w:vAlign w:val="center"/>
            <w:hideMark/>
          </w:tcPr>
          <w:p w:rsidR="001C3802" w:rsidRPr="001C3802" w:rsidRDefault="00855350" w:rsidP="001C3802">
            <w:pPr>
              <w:spacing w:after="0" w:line="240" w:lineRule="auto"/>
              <w:rPr>
                <w:rFonts w:ascii="Times New Roman" w:eastAsia="Arial" w:hAnsi="Times New Roman" w:cs="Times New Roman"/>
              </w:rPr>
            </w:pPr>
            <w:r>
              <w:rPr>
                <w:rFonts w:ascii="Times New Roman" w:eastAsia="Arial" w:hAnsi="Times New Roman" w:cs="Times New Roman"/>
              </w:rPr>
              <w:t xml:space="preserve">EARLY FLOWERING3-like - </w:t>
            </w:r>
            <w:r w:rsidR="001C3802" w:rsidRPr="001C3802">
              <w:rPr>
                <w:rFonts w:ascii="Times New Roman" w:eastAsia="Arial" w:hAnsi="Times New Roman" w:cs="Times New Roman"/>
              </w:rPr>
              <w:t>Nuclear protein involved in phytochrome B signaling</w:t>
            </w:r>
          </w:p>
        </w:tc>
        <w:tc>
          <w:tcPr>
            <w:tcW w:w="448" w:type="dxa"/>
            <w:tcBorders>
              <w:left w:val="single" w:sz="4" w:space="0" w:color="auto"/>
              <w:right w:val="single" w:sz="4" w:space="0" w:color="auto"/>
            </w:tcBorders>
            <w:shd w:val="clear" w:color="000000" w:fill="FFFFFF"/>
            <w:vAlign w:val="center"/>
            <w:hideMark/>
          </w:tcPr>
          <w:p w:rsidR="001C3802" w:rsidRPr="001C3802" w:rsidRDefault="001C3802" w:rsidP="001C3802">
            <w:pPr>
              <w:spacing w:after="0" w:line="240" w:lineRule="auto"/>
              <w:jc w:val="center"/>
              <w:rPr>
                <w:rFonts w:ascii="Times New Roman" w:eastAsia="Arial" w:hAnsi="Times New Roman" w:cs="Times New Roman"/>
              </w:rPr>
            </w:pPr>
            <w:r w:rsidRPr="001C3802">
              <w:rPr>
                <w:rFonts w:ascii="Times New Roman" w:eastAsia="Arial" w:hAnsi="Times New Roman" w:cs="Times New Roman"/>
              </w:rPr>
              <w:t>1</w:t>
            </w:r>
          </w:p>
        </w:tc>
        <w:tc>
          <w:tcPr>
            <w:tcW w:w="1170" w:type="dxa"/>
            <w:tcBorders>
              <w:left w:val="single" w:sz="4" w:space="0" w:color="auto"/>
              <w:right w:val="single" w:sz="4" w:space="0" w:color="auto"/>
            </w:tcBorders>
            <w:shd w:val="clear" w:color="000000" w:fill="FFFFFF"/>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556900385</w:t>
            </w:r>
          </w:p>
        </w:tc>
        <w:tc>
          <w:tcPr>
            <w:tcW w:w="878" w:type="dxa"/>
            <w:tcBorders>
              <w:left w:val="single" w:sz="4" w:space="0" w:color="auto"/>
              <w:right w:val="single" w:sz="4" w:space="0" w:color="auto"/>
            </w:tcBorders>
            <w:shd w:val="clear" w:color="000000" w:fill="FFFFFF"/>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132.54</w:t>
            </w:r>
          </w:p>
        </w:tc>
        <w:tc>
          <w:tcPr>
            <w:tcW w:w="2220" w:type="dxa"/>
            <w:tcBorders>
              <w:left w:val="single" w:sz="4" w:space="0" w:color="auto"/>
              <w:right w:val="single" w:sz="4" w:space="0" w:color="auto"/>
            </w:tcBorders>
            <w:shd w:val="clear" w:color="000000" w:fill="FFFFFF"/>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fldChar w:fldCharType="begin"/>
            </w:r>
            <w:r w:rsidRPr="001C3802">
              <w:rPr>
                <w:rFonts w:ascii="Times New Roman" w:eastAsia="Arial" w:hAnsi="Times New Roman" w:cs="Times New Roman"/>
              </w:rPr>
              <w:instrText xml:space="preserve"> ADDIN ZOTERO_ITEM CSL_CITATION {"citationID":"3ixjN5OG","properties":{"formattedCitation":"(Boden et al., 2014)","plainCitation":"(Boden et al., 2014)","noteIndex":0},"citationItems":[{"id":5614,"uris":["http://zotero.org/groups/328762/items/E8EKYZPD"],"uri":["http://zotero.org/groups/328762/items/E8EKYZPD"],"itemData":{"id":5614,"type":"article-journal","title":"EARLY FLOWERING3 Regulates Flowering in Spring Barley by Mediating Gibberellin Production and &lt;i&gt;FLOWERING LOCUS T&lt;/i&gt; Expression","container-title":"The Plant Cell","page":"1557-1569","volume":"26","issue":"4","source":"www.plantcell.org","abstract":"EARLY FLOWERING3 (ELF3) is a circadian clock gene that contributes to photoperiod-dependent flowering in plants, with loss-of-function mutants in barley (Hordeum vulgare), legumes, and Arabidopsis thaliana flowering early under noninductive short-day (SD) photoperiods. The barley elf3 mutant displays increased expression of FLOWERING LOCUS T1 (FT1); however, it remains unclear whether this is the only factor responsible for the early flowering phenotype. We show that the early flowering and vegetative growth phenotypes of the barley elf3 mutant are strongly dependent on gibberellin (GA) biosynthesis. Expression of the central GA biosynthesis gene, GA20oxidase2, and production of the bioactive GA, GA1, were significantly increased in elf3 leaves under SDs, relative to the wild type. Inhibition of GA biosynthesis suppressed the early flowering of elf3 under SDs independently of FT1 and was associated with altered expression of floral identity genes at the developing apex. GA is also required for normal flowering of spring barley under inductive photoperiods, with chemical and genetic attenuation of the GA biosynthesis and signaling pathways suppressing inflorescence development under long-day conditions. These findings illustrate that GA is an important floral promoting signal in barley and that ELF3 suppresses flowering under noninductive photoperiods by blocking GA production and FT1 expression.","DOI":"10.1105/tpc.114.123794","ISSN":"1040-4651, 1532-298X","note":"PMID: 24781117","language":"en","author":[{"family":"Boden","given":"Scott A."},{"family":"Weiss","given":"David"},{"family":"Ross","given":"John J."},{"family":"Davies","given":"Noel W."},{"family":"Trevaskis","given":"Ben"},{"family":"Chandler","given":"Peter M."},{"family":"Swain","given":"Steve M."}],"issued":{"date-parts":[["2014",4,1]]}}}],"schema":"https://github.com/citation-style-language/schema/raw/master/csl-citation.json"} </w:instrText>
            </w:r>
            <w:r w:rsidRPr="001C3802">
              <w:rPr>
                <w:rFonts w:ascii="Times New Roman" w:eastAsia="Arial" w:hAnsi="Times New Roman" w:cs="Times New Roman"/>
              </w:rPr>
              <w:fldChar w:fldCharType="separate"/>
            </w:r>
            <w:r w:rsidR="003B3687" w:rsidRPr="003B3687">
              <w:rPr>
                <w:rFonts w:ascii="Times New Roman" w:hAnsi="Times New Roman" w:cs="Times New Roman"/>
              </w:rPr>
              <w:t>(Boden et al., 2014)</w:t>
            </w:r>
            <w:r w:rsidRPr="001C3802">
              <w:rPr>
                <w:rFonts w:ascii="Times New Roman" w:eastAsia="Arial" w:hAnsi="Times New Roman" w:cs="Times New Roman"/>
              </w:rPr>
              <w:fldChar w:fldCharType="end"/>
            </w:r>
          </w:p>
        </w:tc>
      </w:tr>
      <w:tr w:rsidR="001C3802" w:rsidRPr="001C3802" w:rsidTr="00221BDF">
        <w:trPr>
          <w:trHeight w:val="260"/>
          <w:jc w:val="center"/>
        </w:trPr>
        <w:tc>
          <w:tcPr>
            <w:tcW w:w="2336" w:type="dxa"/>
            <w:tcBorders>
              <w:left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HORVU2Hr1G013400</w:t>
            </w:r>
          </w:p>
        </w:tc>
        <w:tc>
          <w:tcPr>
            <w:tcW w:w="2681" w:type="dxa"/>
            <w:tcBorders>
              <w:left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rPr>
                <w:rFonts w:ascii="Times New Roman" w:eastAsia="Arial" w:hAnsi="Times New Roman" w:cs="Times New Roman"/>
                <w:i/>
              </w:rPr>
            </w:pPr>
            <w:r w:rsidRPr="001C3802">
              <w:rPr>
                <w:rFonts w:ascii="Times New Roman" w:eastAsia="Arial" w:hAnsi="Times New Roman" w:cs="Times New Roman"/>
                <w:i/>
              </w:rPr>
              <w:t>PHOTOPERIOD-H1</w:t>
            </w:r>
          </w:p>
        </w:tc>
        <w:tc>
          <w:tcPr>
            <w:tcW w:w="3132" w:type="dxa"/>
            <w:tcBorders>
              <w:left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Two-component pseudo response regulator</w:t>
            </w:r>
          </w:p>
        </w:tc>
        <w:tc>
          <w:tcPr>
            <w:tcW w:w="448" w:type="dxa"/>
            <w:tcBorders>
              <w:left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jc w:val="center"/>
              <w:rPr>
                <w:rFonts w:ascii="Times New Roman" w:eastAsia="Arial" w:hAnsi="Times New Roman" w:cs="Times New Roman"/>
              </w:rPr>
            </w:pPr>
            <w:r w:rsidRPr="001C3802">
              <w:rPr>
                <w:rFonts w:ascii="Times New Roman" w:eastAsia="Arial" w:hAnsi="Times New Roman" w:cs="Times New Roman"/>
              </w:rPr>
              <w:t>2</w:t>
            </w:r>
          </w:p>
        </w:tc>
        <w:tc>
          <w:tcPr>
            <w:tcW w:w="1170" w:type="dxa"/>
            <w:tcBorders>
              <w:left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29123785</w:t>
            </w:r>
          </w:p>
        </w:tc>
        <w:tc>
          <w:tcPr>
            <w:tcW w:w="878" w:type="dxa"/>
            <w:tcBorders>
              <w:left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19.15</w:t>
            </w:r>
          </w:p>
        </w:tc>
        <w:tc>
          <w:tcPr>
            <w:tcW w:w="2220" w:type="dxa"/>
            <w:tcBorders>
              <w:left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fldChar w:fldCharType="begin"/>
            </w:r>
            <w:r w:rsidRPr="001C3802">
              <w:rPr>
                <w:rFonts w:ascii="Times New Roman" w:eastAsia="Arial" w:hAnsi="Times New Roman" w:cs="Times New Roman"/>
              </w:rPr>
              <w:instrText xml:space="preserve"> ADDIN ZOTERO_ITEM CSL_CITATION {"citationID":"bSWx2NJ5","properties":{"formattedCitation":"(Turner et al., 2005)","plainCitation":"(Turner et al., 2005)","noteIndex":0},"citationItems":[{"id":2412,"uris":["http://zotero.org/groups/328762/items/AXDR38G7"],"uri":["http://zotero.org/groups/328762/items/AXDR38G7"],"itemData":{"id":2412,"type":"article-journal","title":"The Pseudo-Response Regulator Ppd-H1 Provides Adaptation to Photoperiod in Barley","container-title":"Science","page":"1031-1034","volume":"310","issue":"5750","source":"www.sciencemag.org","abstract":"Plants commonly use photoperiod (day length) to control the timing of flowering during the year, and variation in photoperiod response has been selected in many crops to provide adaptation to different environments and farming practices. Positional cloning identified Ppd-H1, the major determinant of barley photoperiod response, as a pseudo-response regulator, a class of genes involved in circadian clock function. Reduced photoperiod responsiveness of the ppd-H1 mutant, which is highly advantageous in spring-sown varieties, is explained by altered circadian expression of the photoperiod pathway gene CONSTANS and reduced expression of its downstream target, FT, a key regulator of flowering.","DOI":"10.1126/science.1117619","ISSN":"0036-8075, 1095-9203","note":"PMID: 16284181","journalAbbreviation":"Science","language":"en","author":[{"family":"Turner","given":"Adrian"},{"family":"Beales","given":"James"},{"family":"Faure","given":"Sébastien"},{"family":"Dunford","given":"Roy P."},{"family":"Laurie","given":"David A."}],"issued":{"date-parts":[["2005",11,11]]}}}],"schema":"https://github.com/citation-style-language/schema/raw/master/csl-citation.json"} </w:instrText>
            </w:r>
            <w:r w:rsidRPr="001C3802">
              <w:rPr>
                <w:rFonts w:ascii="Times New Roman" w:eastAsia="Arial" w:hAnsi="Times New Roman" w:cs="Times New Roman"/>
              </w:rPr>
              <w:fldChar w:fldCharType="separate"/>
            </w:r>
            <w:r w:rsidR="003B3687" w:rsidRPr="003B3687">
              <w:rPr>
                <w:rFonts w:ascii="Times New Roman" w:hAnsi="Times New Roman" w:cs="Times New Roman"/>
              </w:rPr>
              <w:t>(Turner et al., 2005)</w:t>
            </w:r>
            <w:r w:rsidRPr="001C3802">
              <w:rPr>
                <w:rFonts w:ascii="Times New Roman" w:eastAsia="Arial" w:hAnsi="Times New Roman" w:cs="Times New Roman"/>
              </w:rPr>
              <w:fldChar w:fldCharType="end"/>
            </w:r>
          </w:p>
        </w:tc>
      </w:tr>
      <w:tr w:rsidR="001C3802" w:rsidRPr="001C3802" w:rsidTr="00221BDF">
        <w:trPr>
          <w:trHeight w:val="260"/>
          <w:jc w:val="center"/>
        </w:trPr>
        <w:tc>
          <w:tcPr>
            <w:tcW w:w="2336" w:type="dxa"/>
            <w:tcBorders>
              <w:left w:val="single" w:sz="4" w:space="0" w:color="auto"/>
              <w:right w:val="single" w:sz="4" w:space="0" w:color="auto"/>
            </w:tcBorders>
            <w:shd w:val="clear" w:color="000000" w:fill="FFFFFF"/>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HORVU2Hr1G023180</w:t>
            </w:r>
          </w:p>
        </w:tc>
        <w:tc>
          <w:tcPr>
            <w:tcW w:w="2681" w:type="dxa"/>
            <w:tcBorders>
              <w:left w:val="single" w:sz="4" w:space="0" w:color="auto"/>
              <w:right w:val="single" w:sz="4" w:space="0" w:color="auto"/>
            </w:tcBorders>
            <w:shd w:val="clear" w:color="000000" w:fill="FFFFFF"/>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i/>
              </w:rPr>
              <w:t>FLOWERING LOCUS T 4</w:t>
            </w:r>
            <w:r w:rsidRPr="001C3802">
              <w:rPr>
                <w:rFonts w:ascii="Times New Roman" w:eastAsia="Arial" w:hAnsi="Times New Roman" w:cs="Times New Roman"/>
              </w:rPr>
              <w:t>-like (</w:t>
            </w:r>
            <w:r w:rsidRPr="001C3802">
              <w:rPr>
                <w:rFonts w:ascii="Times New Roman" w:eastAsia="Arial" w:hAnsi="Times New Roman" w:cs="Times New Roman"/>
                <w:i/>
              </w:rPr>
              <w:t>FT4</w:t>
            </w:r>
            <w:r w:rsidRPr="001C3802">
              <w:rPr>
                <w:rFonts w:ascii="Times New Roman" w:eastAsia="Arial" w:hAnsi="Times New Roman" w:cs="Times New Roman"/>
              </w:rPr>
              <w:t>)</w:t>
            </w:r>
          </w:p>
        </w:tc>
        <w:tc>
          <w:tcPr>
            <w:tcW w:w="3132" w:type="dxa"/>
            <w:tcBorders>
              <w:left w:val="single" w:sz="4" w:space="0" w:color="auto"/>
              <w:right w:val="single" w:sz="4" w:space="0" w:color="auto"/>
            </w:tcBorders>
            <w:shd w:val="clear" w:color="000000" w:fill="FFFFFF"/>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FLOWERING LOCUS T-like</w:t>
            </w:r>
          </w:p>
        </w:tc>
        <w:tc>
          <w:tcPr>
            <w:tcW w:w="448" w:type="dxa"/>
            <w:tcBorders>
              <w:left w:val="single" w:sz="4" w:space="0" w:color="auto"/>
              <w:right w:val="single" w:sz="4" w:space="0" w:color="auto"/>
            </w:tcBorders>
            <w:shd w:val="clear" w:color="000000" w:fill="FFFFFF"/>
            <w:vAlign w:val="center"/>
            <w:hideMark/>
          </w:tcPr>
          <w:p w:rsidR="001C3802" w:rsidRPr="001C3802" w:rsidRDefault="001C3802" w:rsidP="001C3802">
            <w:pPr>
              <w:spacing w:after="0" w:line="240" w:lineRule="auto"/>
              <w:jc w:val="center"/>
              <w:rPr>
                <w:rFonts w:ascii="Times New Roman" w:eastAsia="Arial" w:hAnsi="Times New Roman" w:cs="Times New Roman"/>
              </w:rPr>
            </w:pPr>
            <w:r w:rsidRPr="001C3802">
              <w:rPr>
                <w:rFonts w:ascii="Times New Roman" w:eastAsia="Arial" w:hAnsi="Times New Roman" w:cs="Times New Roman"/>
              </w:rPr>
              <w:t>2</w:t>
            </w:r>
          </w:p>
        </w:tc>
        <w:tc>
          <w:tcPr>
            <w:tcW w:w="1170" w:type="dxa"/>
            <w:tcBorders>
              <w:left w:val="single" w:sz="4" w:space="0" w:color="auto"/>
              <w:right w:val="single" w:sz="4" w:space="0" w:color="auto"/>
            </w:tcBorders>
            <w:shd w:val="clear" w:color="000000" w:fill="FFFFFF"/>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68833704</w:t>
            </w:r>
          </w:p>
        </w:tc>
        <w:tc>
          <w:tcPr>
            <w:tcW w:w="878" w:type="dxa"/>
            <w:tcBorders>
              <w:left w:val="single" w:sz="4" w:space="0" w:color="auto"/>
              <w:right w:val="single" w:sz="4" w:space="0" w:color="auto"/>
            </w:tcBorders>
            <w:shd w:val="clear" w:color="000000" w:fill="FFFFFF"/>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47.46</w:t>
            </w:r>
          </w:p>
        </w:tc>
        <w:tc>
          <w:tcPr>
            <w:tcW w:w="2220" w:type="dxa"/>
            <w:tcBorders>
              <w:left w:val="single" w:sz="4" w:space="0" w:color="auto"/>
              <w:right w:val="single" w:sz="4" w:space="0" w:color="auto"/>
            </w:tcBorders>
            <w:shd w:val="clear" w:color="000000" w:fill="FFFFFF"/>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fldChar w:fldCharType="begin"/>
            </w:r>
            <w:r w:rsidRPr="001C3802">
              <w:rPr>
                <w:rFonts w:ascii="Times New Roman" w:eastAsia="Arial" w:hAnsi="Times New Roman" w:cs="Times New Roman"/>
              </w:rPr>
              <w:instrText xml:space="preserve"> ADDIN ZOTERO_ITEM CSL_CITATION {"citationID":"xcxlSDnW","properties":{"formattedCitation":"(Faure et al., 2007)","plainCitation":"(Faure et al., 2007)","noteIndex":0},"citationItems":[{"id":4801,"uris":["http://zotero.org/groups/328762/items/IIZYCDAU"],"uri":["http://zotero.org/groups/328762/items/IIZYCDAU"],"itemData":{"id":4801,"type":"article-journal","title":"The &lt;i&gt;FLOWERING LOCUS T-Like &lt;/i&gt;Gene Family in Barley (&lt;i&gt;Hordeum vulgare&lt;/i&gt;)","container-title":"Genetics","page":"599-609","volume":"176","issue":"1","source":"PubMed Central","abstract":"The FLOWERING LOCUS T (FT) gene plays a central role in integrating flowering signals in Arabidopsis because its expression is regulated antagonistically by the photoperiod and vernalization pathways. FT belongs to a family of six genes characterized by a phosphatidylethanolamine-binding protein (PEBP) domain. In rice (Oryza sativa), 19 PEBP genes were previously described, 13 of which are FT-like genes. Five FT-like genes were found in barley (Hordeum vulgare). HvFT1, HvFT2, HvFT3, and HvFT4 were highly homologous to OsFTL2 (the Hd3a QTL), OsFTL1, OsFTL10, and OsFTL12, respectively, and this relationship was supported by comparative mapping. No rice equivalent was found for HvFT5. HvFT1 was highly expressed under long-day (inductive) conditions at the time of the morphological switch of the shoot apex from vegetative to reproductive growth. HvFT2 and HvFT4 were expressed later in development. HvFT1 was therefore identified as the main barley FT-like gene involved in the switch to flowering. Mapping of HvFT genes suggests that they provide important sources of flowering-time variation in barley. HvFTI was a candidate for VRN-H3, a dominant mutation giving precocious flowering, while HvFT3 was a candidate for Ppd-H2, a major QTL affecting flowering time in short days.","DOI":"10.1534/genetics.106.069500","ISSN":"0016-6731","note":"PMID: 17339225\nPMCID: PMC1893030","journalAbbreviation":"Genetics","author":[{"family":"Faure","given":"Sébastien"},{"family":"Higgins","given":"Janet"},{"family":"Turner","given":"Adrian"},{"family":"Laurie","given":"David A."}],"issued":{"date-parts":[["2007",5]]}}}],"schema":"https://github.com/citation-style-language/schema/raw/master/csl-citation.json"} </w:instrText>
            </w:r>
            <w:r w:rsidRPr="001C3802">
              <w:rPr>
                <w:rFonts w:ascii="Times New Roman" w:eastAsia="Arial" w:hAnsi="Times New Roman" w:cs="Times New Roman"/>
              </w:rPr>
              <w:fldChar w:fldCharType="separate"/>
            </w:r>
            <w:r w:rsidR="003B3687" w:rsidRPr="003B3687">
              <w:rPr>
                <w:rFonts w:ascii="Times New Roman" w:hAnsi="Times New Roman" w:cs="Times New Roman"/>
              </w:rPr>
              <w:t>(Faure et al., 2007)</w:t>
            </w:r>
            <w:r w:rsidRPr="001C3802">
              <w:rPr>
                <w:rFonts w:ascii="Times New Roman" w:eastAsia="Arial" w:hAnsi="Times New Roman" w:cs="Times New Roman"/>
              </w:rPr>
              <w:fldChar w:fldCharType="end"/>
            </w:r>
          </w:p>
        </w:tc>
      </w:tr>
      <w:tr w:rsidR="001C3802" w:rsidRPr="001C3802" w:rsidTr="00221BDF">
        <w:trPr>
          <w:trHeight w:val="520"/>
          <w:jc w:val="center"/>
        </w:trPr>
        <w:tc>
          <w:tcPr>
            <w:tcW w:w="2336" w:type="dxa"/>
            <w:tcBorders>
              <w:left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lastRenderedPageBreak/>
              <w:t>HORVU2Hr1G063800</w:t>
            </w:r>
          </w:p>
        </w:tc>
        <w:tc>
          <w:tcPr>
            <w:tcW w:w="2681" w:type="dxa"/>
            <w:tcBorders>
              <w:left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i/>
              </w:rPr>
              <w:t>HvMADS15</w:t>
            </w:r>
          </w:p>
        </w:tc>
        <w:tc>
          <w:tcPr>
            <w:tcW w:w="3132" w:type="dxa"/>
            <w:tcBorders>
              <w:left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APETALA1-like MADS box transcription factor</w:t>
            </w:r>
          </w:p>
        </w:tc>
        <w:tc>
          <w:tcPr>
            <w:tcW w:w="448" w:type="dxa"/>
            <w:tcBorders>
              <w:left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jc w:val="center"/>
              <w:rPr>
                <w:rFonts w:ascii="Times New Roman" w:eastAsia="Arial" w:hAnsi="Times New Roman" w:cs="Times New Roman"/>
              </w:rPr>
            </w:pPr>
            <w:r w:rsidRPr="001C3802">
              <w:rPr>
                <w:rFonts w:ascii="Times New Roman" w:eastAsia="Arial" w:hAnsi="Times New Roman" w:cs="Times New Roman"/>
              </w:rPr>
              <w:t>2</w:t>
            </w:r>
          </w:p>
        </w:tc>
        <w:tc>
          <w:tcPr>
            <w:tcW w:w="1170" w:type="dxa"/>
            <w:tcBorders>
              <w:left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432051592</w:t>
            </w:r>
          </w:p>
        </w:tc>
        <w:tc>
          <w:tcPr>
            <w:tcW w:w="878" w:type="dxa"/>
            <w:tcBorders>
              <w:left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58.76</w:t>
            </w:r>
          </w:p>
        </w:tc>
        <w:tc>
          <w:tcPr>
            <w:tcW w:w="2220" w:type="dxa"/>
            <w:tcBorders>
              <w:left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fldChar w:fldCharType="begin"/>
            </w:r>
            <w:r w:rsidRPr="001C3802">
              <w:rPr>
                <w:rFonts w:ascii="Times New Roman" w:eastAsia="Arial" w:hAnsi="Times New Roman" w:cs="Times New Roman"/>
              </w:rPr>
              <w:instrText xml:space="preserve"> ADDIN ZOTERO_ITEM CSL_CITATION {"citationID":"5cZOqo3x","properties":{"formattedCitation":"(Kobayashi et al., 2012; Schmitz et al., 2000)","plainCitation":"(Kobayashi et al., 2012; Schmitz et al., 2000)","noteIndex":0},"citationItems":[{"id":4876,"uris":["http://zotero.org/groups/328762/items/T3HZ98RT"],"uri":["http://zotero.org/groups/328762/items/T3HZ98RT"],"itemData":{"id":4876,"type":"article-journal","title":"Inflorescence meristem identity in rice is specified by overlapping functions of three &lt;i&gt;AP1/FUL&lt;/i&gt;-like MADS box genes and &lt;i&gt;PAP2&lt;/i&gt;, a &lt;i&gt;SEPALLATA&lt;/i&gt; MADS box gene","container-title":"The Plant Cell","page":"1848-1859","volume":"24","issue":"5","source":"PubMed","abstract":"In plants, the transition to reproductive growth is of particular importance for successful seed production. Transformation of the shoot apical meristem (SAM) to the inflorescence meristem (IM) is the crucial first step in this transition. Using laser microdissection and microarrays, we found that expression of PANICLE PHYTOMER2 (PAP2) and three APETALA1 (AP1)/FRUITFULL (FUL)-like genes (MADS14, MADS15, and MADS18) is induced in the SAM during meristem phase transition in rice (Oryza sativa). PAP2 is a MADS box gene belonging to a grass-specific subclade of the SEPALLATA subfamily. Suppression of these three AP1/FUL-like genes by RNA interference caused a slight delay in reproductive transition. Further depletion of PAP2 function from these triple knockdown plants inhibited the transition of the meristem to the IM. In the quadruple knockdown lines, the meristem continued to generate leaves, rather than becoming an IM. Consequently, multiple shoots were formed instead of an inflorescence. PAP2 physically interacts with MAD14 and MADS15 in vivo. Furthermore, the precocious flowering phenotype caused by the overexpression of Hd3a, a rice florigen gene, was weakened in pap2-1 mutants. Based on these results, we propose that PAP2 and the three AP1/FUL-like genes coordinately act in the meristem to specify the identity of the IM downstream of the florigen signal.","DOI":"10.1105/tpc.112.097105","ISSN":"1532-298X","note":"PMID: 22570445\nPMCID: PMC3442573","journalAbbreviation":"Plant Cell","language":"eng","author":[{"family":"Kobayashi","given":"Kaoru"},{"family":"Yasuno","given":"Naoko"},{"family":"Sato","given":"Yutaka"},{"family":"Yoda","given":"Masahiro"},{"family":"Yamazaki","given":"Ryo"},{"family":"Kimizu","given":"Mayumi"},{"family":"Yoshida","given":"Hitoshi"},{"family":"Nagamura","given":"Yoshiaki"},{"family":"Kyozuka","given":"Junko"}],"issued":{"date-parts":[["2012",5]]}}},{"id":4775,"uris":["http://zotero.org/groups/328762/items/THQK7IVB"],"uri":["http://zotero.org/groups/328762/items/THQK7IVB"],"itemData":{"id":4775,"type":"article-journal","title":"Cloning, mapping and expression analysis of barley &lt;i&gt;MADS-box&lt;/i&gt; genes","container-title":"Plant Molecular Biology","page":"899-913","volume":"42","issue":"6","source":"link-springer-com.ezp1.lib.umn.edu","abstract":"Six MADS-box cDNA clones were isolated by heterologous screening from a barley inflorescence cDNA library. Based on sequence comparison to known MADS-box genes, the barley MADS-box (BM) genes were grouped into three distinct phylogenetic subclasses of the MADS-box gene family. The three MADS-box genes BM3, BM5 and BM8 share similarities with genes of the SQUAMOSA (SQUA) subgroup, while BM7 and BM9 belong to the AGAMOUS-LIKE 2 (AGL2) subgroup. BM1 resembles MADS-box genes described as solitary sequences or orphan genes. Expression analysis of the barley MADS-box genes revealed expression patterns that are not characteristic of the barley MADS-box genes of the SQUA subgroup, while expression of BM7 and BM9 was largely as expected for the AGL2 subgroup. BM1 is mainly expressed in vegetative tissues and its primary transcript undergoes alternative splicing such that the corresponding mRNAs differ by two codons. The genes BM1, BM3 and BM8 were mapped by analysis of single-nucleotide polymorphisms onto barley chromosomes 4, 2 and 7, respectively.","DOI":"10.1023/A:1006425619953","ISSN":"0167-4412, 1573-5028","journalAbbreviation":"Plant Mol Biol","language":"en","author":[{"family":"Schmitz","given":"Jürgen"},{"family":"Franzen","given":"Rainer"},{"family":"Ngyuen","given":"Thi Ha"},{"family":"Garcia-Maroto","given":"Federico"},{"family":"Pozzi","given":"Carlo"},{"family":"Salamini","given":"Francesco"},{"family":"Rohde","given":"Wolfgang"}],"issued":{"date-parts":[["2000",4,1]]}}}],"schema":"https://github.com/citation-style-language/schema/raw/master/csl-citation.json"} </w:instrText>
            </w:r>
            <w:r w:rsidRPr="001C3802">
              <w:rPr>
                <w:rFonts w:ascii="Times New Roman" w:eastAsia="Arial" w:hAnsi="Times New Roman" w:cs="Times New Roman"/>
              </w:rPr>
              <w:fldChar w:fldCharType="separate"/>
            </w:r>
            <w:r w:rsidR="003B3687" w:rsidRPr="003B3687">
              <w:rPr>
                <w:rFonts w:ascii="Times New Roman" w:hAnsi="Times New Roman" w:cs="Times New Roman"/>
              </w:rPr>
              <w:t>(Kobayashi et al., 2012; Schmitz et al., 2000)</w:t>
            </w:r>
            <w:r w:rsidRPr="001C3802">
              <w:rPr>
                <w:rFonts w:ascii="Times New Roman" w:eastAsia="Arial" w:hAnsi="Times New Roman" w:cs="Times New Roman"/>
              </w:rPr>
              <w:fldChar w:fldCharType="end"/>
            </w:r>
          </w:p>
        </w:tc>
      </w:tr>
      <w:tr w:rsidR="001C3802" w:rsidRPr="001C3802" w:rsidTr="00221BDF">
        <w:trPr>
          <w:trHeight w:val="260"/>
          <w:jc w:val="center"/>
        </w:trPr>
        <w:tc>
          <w:tcPr>
            <w:tcW w:w="2336" w:type="dxa"/>
            <w:tcBorders>
              <w:left w:val="single" w:sz="4" w:space="0" w:color="auto"/>
              <w:right w:val="single" w:sz="4" w:space="0" w:color="auto"/>
            </w:tcBorders>
            <w:shd w:val="clear" w:color="000000" w:fill="FFFFFF"/>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HORVU2Hr1G072750</w:t>
            </w:r>
          </w:p>
        </w:tc>
        <w:tc>
          <w:tcPr>
            <w:tcW w:w="2681" w:type="dxa"/>
            <w:tcBorders>
              <w:left w:val="single" w:sz="4" w:space="0" w:color="auto"/>
              <w:right w:val="single" w:sz="4" w:space="0" w:color="auto"/>
            </w:tcBorders>
            <w:shd w:val="clear" w:color="000000" w:fill="FFFFFF"/>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i/>
              </w:rPr>
              <w:t>CENTRORADIALIS</w:t>
            </w:r>
            <w:r w:rsidRPr="001C3802">
              <w:rPr>
                <w:rFonts w:ascii="Times New Roman" w:eastAsia="Arial" w:hAnsi="Times New Roman" w:cs="Times New Roman"/>
              </w:rPr>
              <w:t xml:space="preserve"> (</w:t>
            </w:r>
            <w:r w:rsidRPr="001C3802">
              <w:rPr>
                <w:rFonts w:ascii="Times New Roman" w:eastAsia="Arial" w:hAnsi="Times New Roman" w:cs="Times New Roman"/>
                <w:i/>
              </w:rPr>
              <w:t>CEN</w:t>
            </w:r>
            <w:r w:rsidRPr="001C3802">
              <w:rPr>
                <w:rFonts w:ascii="Times New Roman" w:eastAsia="Arial" w:hAnsi="Times New Roman" w:cs="Times New Roman"/>
              </w:rPr>
              <w:t>)</w:t>
            </w:r>
          </w:p>
        </w:tc>
        <w:tc>
          <w:tcPr>
            <w:tcW w:w="3132" w:type="dxa"/>
            <w:tcBorders>
              <w:left w:val="single" w:sz="4" w:space="0" w:color="auto"/>
              <w:right w:val="single" w:sz="4" w:space="0" w:color="auto"/>
            </w:tcBorders>
            <w:shd w:val="clear" w:color="000000" w:fill="FFFFFF"/>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Phosphatidylethanolamine-binding protein</w:t>
            </w:r>
          </w:p>
        </w:tc>
        <w:tc>
          <w:tcPr>
            <w:tcW w:w="448" w:type="dxa"/>
            <w:tcBorders>
              <w:left w:val="single" w:sz="4" w:space="0" w:color="auto"/>
              <w:right w:val="single" w:sz="4" w:space="0" w:color="auto"/>
            </w:tcBorders>
            <w:shd w:val="clear" w:color="000000" w:fill="FFFFFF"/>
            <w:vAlign w:val="center"/>
            <w:hideMark/>
          </w:tcPr>
          <w:p w:rsidR="001C3802" w:rsidRPr="001C3802" w:rsidRDefault="001C3802" w:rsidP="001C3802">
            <w:pPr>
              <w:spacing w:after="0" w:line="240" w:lineRule="auto"/>
              <w:jc w:val="center"/>
              <w:rPr>
                <w:rFonts w:ascii="Times New Roman" w:eastAsia="Arial" w:hAnsi="Times New Roman" w:cs="Times New Roman"/>
              </w:rPr>
            </w:pPr>
            <w:r w:rsidRPr="001C3802">
              <w:rPr>
                <w:rFonts w:ascii="Times New Roman" w:eastAsia="Arial" w:hAnsi="Times New Roman" w:cs="Times New Roman"/>
              </w:rPr>
              <w:t>2</w:t>
            </w:r>
          </w:p>
        </w:tc>
        <w:tc>
          <w:tcPr>
            <w:tcW w:w="1170" w:type="dxa"/>
            <w:tcBorders>
              <w:left w:val="single" w:sz="4" w:space="0" w:color="auto"/>
              <w:right w:val="single" w:sz="4" w:space="0" w:color="auto"/>
            </w:tcBorders>
            <w:shd w:val="clear" w:color="000000" w:fill="FFFFFF"/>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523377523</w:t>
            </w:r>
          </w:p>
        </w:tc>
        <w:tc>
          <w:tcPr>
            <w:tcW w:w="878" w:type="dxa"/>
            <w:tcBorders>
              <w:left w:val="single" w:sz="4" w:space="0" w:color="auto"/>
              <w:right w:val="single" w:sz="4" w:space="0" w:color="auto"/>
            </w:tcBorders>
            <w:shd w:val="clear" w:color="000000" w:fill="FFFFFF"/>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58.7</w:t>
            </w:r>
          </w:p>
        </w:tc>
        <w:tc>
          <w:tcPr>
            <w:tcW w:w="2220" w:type="dxa"/>
            <w:tcBorders>
              <w:left w:val="single" w:sz="4" w:space="0" w:color="auto"/>
              <w:right w:val="single" w:sz="4" w:space="0" w:color="auto"/>
            </w:tcBorders>
            <w:shd w:val="clear" w:color="000000" w:fill="FFFFFF"/>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fldChar w:fldCharType="begin"/>
            </w:r>
            <w:r w:rsidRPr="001C3802">
              <w:rPr>
                <w:rFonts w:ascii="Times New Roman" w:eastAsia="Arial" w:hAnsi="Times New Roman" w:cs="Times New Roman"/>
              </w:rPr>
              <w:instrText xml:space="preserve"> ADDIN ZOTERO_ITEM CSL_CITATION {"citationID":"7T17O9mI","properties":{"formattedCitation":"(Comadran et al., 2012)","plainCitation":"(Comadran et al., 2012)","noteIndex":0},"citationItems":[{"id":889,"uris":["http://zotero.org/groups/328762/items/8E288GJZ"],"uri":["http://zotero.org/groups/328762/items/8E288GJZ"],"itemData":{"id":889,"type":"article-journal","title":"Natural variation in a homolog of Antirrhinum &lt;i&gt;CENTRORADIALIS&lt;/i&gt; contributed to spring growth habit and environmental adaptation in cultivated barley","container-title":"Nature Genetics","page":"1388-1392","volume":"44","issue":"12","source":"www.nature.com","abstract":"As early farming spread from the Fertile Crescent in the Near East around 10,000 years before the present, domesticated crops encountered considerable ecological and environmental change. Spring-sown crops that flowered without the need for an extended period of cold to promote flowering and day length–insensitive crops able to exploit the longer, cooler days of higher latitudes emerged and became established. To investigate the genetic consequences of adaptation to these new environments, we identified signatures of divergent selection in the highly differentiated modern-day spring and winter barleys. In one genetically divergent region, we identify a natural variant of the barley homolog of Antirrhinum CENTRORADIALIS (HvCEN) as a contributor to successful environmental adaptation. The distribution of HvCEN alleles in a large collection of wild and landrace accessions indicates that this involved selection and enrichment of preexisting genetic variants rather than the acquisition of mutations after domestication.","DOI":"10.1038/ng.2447","ISSN":"1061-4036","journalAbbreviation":"Nat Genet","language":"en","author":[{"family":"Comadran","given":"Jordi"},{"family":"Kilian","given":"Benjamin"},{"family":"Russell","given":"Joanne"},{"family":"Ramsay","given":"Luke"},{"family":"Stein","given":"Nils"},{"family":"Ganal","given":"Martin"},{"family":"Shaw","given":"Paul"},{"family":"Bayer","given":"Micha"},{"family":"Thomas","given":"William"},{"family":"Marshall","given":"David"},{"family":"Hedley","given":"Pete"},{"family":"Tondelli","given":"Alessandro"},{"family":"Pecchioni","given":"Nicola"},{"family":"Francia","given":"Enrico"},{"family":"Korzun","given":"Viktor"},{"family":"Walther","given":"Alexander"},{"family":"Waugh","given":"Robbie"}],"issued":{"date-parts":[["2012",12]]}}}],"schema":"https://github.com/citation-style-language/schema/raw/master/csl-citation.json"} </w:instrText>
            </w:r>
            <w:r w:rsidRPr="001C3802">
              <w:rPr>
                <w:rFonts w:ascii="Times New Roman" w:eastAsia="Arial" w:hAnsi="Times New Roman" w:cs="Times New Roman"/>
              </w:rPr>
              <w:fldChar w:fldCharType="separate"/>
            </w:r>
            <w:r w:rsidR="003B3687" w:rsidRPr="003B3687">
              <w:rPr>
                <w:rFonts w:ascii="Times New Roman" w:hAnsi="Times New Roman" w:cs="Times New Roman"/>
              </w:rPr>
              <w:t>(Comadran et al., 2012)</w:t>
            </w:r>
            <w:r w:rsidRPr="001C3802">
              <w:rPr>
                <w:rFonts w:ascii="Times New Roman" w:eastAsia="Arial" w:hAnsi="Times New Roman" w:cs="Times New Roman"/>
              </w:rPr>
              <w:fldChar w:fldCharType="end"/>
            </w:r>
          </w:p>
        </w:tc>
      </w:tr>
      <w:tr w:rsidR="001C3802" w:rsidRPr="001C3802" w:rsidTr="00221BDF">
        <w:trPr>
          <w:trHeight w:val="260"/>
          <w:jc w:val="center"/>
        </w:trPr>
        <w:tc>
          <w:tcPr>
            <w:tcW w:w="2336" w:type="dxa"/>
            <w:tcBorders>
              <w:left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HORVU2Hr1G085910</w:t>
            </w:r>
          </w:p>
        </w:tc>
        <w:tc>
          <w:tcPr>
            <w:tcW w:w="2681" w:type="dxa"/>
            <w:tcBorders>
              <w:left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i/>
              </w:rPr>
              <w:t>CONSTANS 4</w:t>
            </w:r>
            <w:r w:rsidRPr="001C3802">
              <w:rPr>
                <w:rFonts w:ascii="Times New Roman" w:eastAsia="Arial" w:hAnsi="Times New Roman" w:cs="Times New Roman"/>
              </w:rPr>
              <w:t>-like (</w:t>
            </w:r>
            <w:r w:rsidRPr="001C3802">
              <w:rPr>
                <w:rFonts w:ascii="Times New Roman" w:eastAsia="Arial" w:hAnsi="Times New Roman" w:cs="Times New Roman"/>
                <w:i/>
              </w:rPr>
              <w:t>CO4</w:t>
            </w:r>
            <w:r w:rsidRPr="001C3802">
              <w:rPr>
                <w:rFonts w:ascii="Times New Roman" w:eastAsia="Arial" w:hAnsi="Times New Roman" w:cs="Times New Roman"/>
              </w:rPr>
              <w:t>)</w:t>
            </w:r>
          </w:p>
        </w:tc>
        <w:tc>
          <w:tcPr>
            <w:tcW w:w="3132" w:type="dxa"/>
            <w:tcBorders>
              <w:left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Transcription factor with a CCT domain</w:t>
            </w:r>
          </w:p>
        </w:tc>
        <w:tc>
          <w:tcPr>
            <w:tcW w:w="448" w:type="dxa"/>
            <w:tcBorders>
              <w:left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jc w:val="center"/>
              <w:rPr>
                <w:rFonts w:ascii="Times New Roman" w:eastAsia="Arial" w:hAnsi="Times New Roman" w:cs="Times New Roman"/>
              </w:rPr>
            </w:pPr>
            <w:r w:rsidRPr="001C3802">
              <w:rPr>
                <w:rFonts w:ascii="Times New Roman" w:eastAsia="Arial" w:hAnsi="Times New Roman" w:cs="Times New Roman"/>
              </w:rPr>
              <w:t>2</w:t>
            </w:r>
          </w:p>
        </w:tc>
        <w:tc>
          <w:tcPr>
            <w:tcW w:w="1170" w:type="dxa"/>
            <w:tcBorders>
              <w:left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620631167</w:t>
            </w:r>
          </w:p>
        </w:tc>
        <w:tc>
          <w:tcPr>
            <w:tcW w:w="878" w:type="dxa"/>
            <w:tcBorders>
              <w:left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65.61</w:t>
            </w:r>
          </w:p>
        </w:tc>
        <w:tc>
          <w:tcPr>
            <w:tcW w:w="2220" w:type="dxa"/>
            <w:tcBorders>
              <w:left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fldChar w:fldCharType="begin"/>
            </w:r>
            <w:r w:rsidRPr="001C3802">
              <w:rPr>
                <w:rFonts w:ascii="Times New Roman" w:eastAsia="Arial" w:hAnsi="Times New Roman" w:cs="Times New Roman"/>
              </w:rPr>
              <w:instrText xml:space="preserve"> ADDIN ZOTERO_ITEM CSL_CITATION {"citationID":"MGyE9XQo","properties":{"formattedCitation":"(Griffiths et al., 2003)","plainCitation":"(Griffiths et al., 2003)","noteIndex":0},"citationItems":[{"id":5807,"uris":["http://zotero.org/groups/328762/items/FRAJBUAM"],"uri":["http://zotero.org/groups/328762/items/FRAJBUAM"],"itemData":{"id":5807,"type":"article-journal","title":"The Evolution of &lt;i&gt;CONSTANS-Like&lt;/i&gt; Gene Families in Barley, Rice, and Arabidopsis","container-title":"Plant Physiology","page":"1855-1867","volume":"131","issue":"4","source":"www.plantphysiol.org.ezp3.lib.umn.edu","abstract":"The CO (CONSTANS) gene of Arabidopsis has an important role in the regulation of flowering by photoperiod. CO is part of a gene family with 17 members that are subdivided into three classes, termed Group I to III here. All members of the family have a CCT (CO,CO-like, TOC1) domain near the carboxy terminus. Group I genes, which include CO, have two zinc finger B-boxes near the amino terminus. Group II genes have one B-box, and Group III genes have one B-box and a second diverged zinc finger. Analysis of rice (Oryza sativa) genomic sequence identified 16 genes (OsA–OsP) that were also divided into these three groups, showing that their evolution predates monocot/dicot divergence. Eight Group I genes (HvCO1–HvCO8) were isolated from barley (Hordeum vulgare), of which two (HvCO1and HvCO2) were highly CO like.HvCO3 and its rice counterpart (OsB) had one B-box that was distantly related to Group II genes and was probably derived by internal deletion of a two B-box Group I gene. Sequence homology and comparative mapping showed that HvCO1 was the counterpart of OsA (Hd1), a major determinant of photoperiod sensitivity in rice. Major genes determining photoperiod response have been mapped in barley and wheat (Triticum aestivum), but none corresponded toCO-like genes. Thus, selection for variation in photoperiod response has affected different genes in rice and temperate cereals. The peptides of HvCO1, HvCO2(barley), and Hd1 (rice) show significant structural differences from CO, particularly amino acid changes that are predicted to abolish B-box2 function, suggesting an evolutionary trend toward a one-B-box structure in the most CO-like cereal genes.","DOI":"10.1104/pp.102.016188","ISSN":"0032-0889, 1532-2548","note":"PMID: 12692345","language":"en","author":[{"family":"Griffiths","given":"Simon"},{"family":"Dunford","given":"Roy P."},{"family":"Coupland","given":"George"},{"family":"Laurie","given":"David A."}],"issued":{"date-parts":[["2003",4,1]]}}}],"schema":"https://github.com/citation-style-language/schema/raw/master/csl-citation.json"} </w:instrText>
            </w:r>
            <w:r w:rsidRPr="001C3802">
              <w:rPr>
                <w:rFonts w:ascii="Times New Roman" w:eastAsia="Arial" w:hAnsi="Times New Roman" w:cs="Times New Roman"/>
              </w:rPr>
              <w:fldChar w:fldCharType="separate"/>
            </w:r>
            <w:r w:rsidR="003B3687" w:rsidRPr="003B3687">
              <w:rPr>
                <w:rFonts w:ascii="Times New Roman" w:hAnsi="Times New Roman" w:cs="Times New Roman"/>
              </w:rPr>
              <w:t>(Griffiths et al., 2003)</w:t>
            </w:r>
            <w:r w:rsidRPr="001C3802">
              <w:rPr>
                <w:rFonts w:ascii="Times New Roman" w:eastAsia="Arial" w:hAnsi="Times New Roman" w:cs="Times New Roman"/>
              </w:rPr>
              <w:fldChar w:fldCharType="end"/>
            </w:r>
          </w:p>
        </w:tc>
      </w:tr>
      <w:tr w:rsidR="001C3802" w:rsidRPr="001C3802" w:rsidTr="00221BDF">
        <w:trPr>
          <w:trHeight w:val="260"/>
          <w:jc w:val="center"/>
        </w:trPr>
        <w:tc>
          <w:tcPr>
            <w:tcW w:w="2336" w:type="dxa"/>
            <w:tcBorders>
              <w:left w:val="single" w:sz="4" w:space="0" w:color="auto"/>
              <w:right w:val="single" w:sz="4" w:space="0" w:color="auto"/>
            </w:tcBorders>
            <w:shd w:val="clear" w:color="000000" w:fill="FFFFFF"/>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HORVU3Hr1G021140</w:t>
            </w:r>
          </w:p>
        </w:tc>
        <w:tc>
          <w:tcPr>
            <w:tcW w:w="2681" w:type="dxa"/>
            <w:tcBorders>
              <w:left w:val="single" w:sz="4" w:space="0" w:color="auto"/>
              <w:right w:val="single" w:sz="4" w:space="0" w:color="auto"/>
            </w:tcBorders>
            <w:shd w:val="clear" w:color="000000" w:fill="FFFFFF"/>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i/>
              </w:rPr>
              <w:t>GIGANTEA</w:t>
            </w:r>
            <w:r w:rsidRPr="001C3802">
              <w:rPr>
                <w:rFonts w:ascii="Times New Roman" w:eastAsia="Arial" w:hAnsi="Times New Roman" w:cs="Times New Roman"/>
              </w:rPr>
              <w:t xml:space="preserve"> (</w:t>
            </w:r>
            <w:r w:rsidRPr="001C3802">
              <w:rPr>
                <w:rFonts w:ascii="Times New Roman" w:eastAsia="Arial" w:hAnsi="Times New Roman" w:cs="Times New Roman"/>
                <w:i/>
              </w:rPr>
              <w:t>GI</w:t>
            </w:r>
            <w:r w:rsidRPr="001C3802">
              <w:rPr>
                <w:rFonts w:ascii="Times New Roman" w:eastAsia="Arial" w:hAnsi="Times New Roman" w:cs="Times New Roman"/>
              </w:rPr>
              <w:t>)</w:t>
            </w:r>
          </w:p>
        </w:tc>
        <w:tc>
          <w:tcPr>
            <w:tcW w:w="3132" w:type="dxa"/>
            <w:tcBorders>
              <w:left w:val="single" w:sz="4" w:space="0" w:color="auto"/>
              <w:right w:val="single" w:sz="4" w:space="0" w:color="auto"/>
            </w:tcBorders>
            <w:shd w:val="clear" w:color="000000" w:fill="FFFFFF"/>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Nuclear protein involved in phytochrome B signaling</w:t>
            </w:r>
          </w:p>
        </w:tc>
        <w:tc>
          <w:tcPr>
            <w:tcW w:w="448" w:type="dxa"/>
            <w:tcBorders>
              <w:left w:val="single" w:sz="4" w:space="0" w:color="auto"/>
              <w:right w:val="single" w:sz="4" w:space="0" w:color="auto"/>
            </w:tcBorders>
            <w:shd w:val="clear" w:color="000000" w:fill="FFFFFF"/>
            <w:vAlign w:val="center"/>
            <w:hideMark/>
          </w:tcPr>
          <w:p w:rsidR="001C3802" w:rsidRPr="001C3802" w:rsidRDefault="001C3802" w:rsidP="001C3802">
            <w:pPr>
              <w:spacing w:after="0" w:line="240" w:lineRule="auto"/>
              <w:jc w:val="center"/>
              <w:rPr>
                <w:rFonts w:ascii="Times New Roman" w:eastAsia="Arial" w:hAnsi="Times New Roman" w:cs="Times New Roman"/>
              </w:rPr>
            </w:pPr>
            <w:r w:rsidRPr="001C3802">
              <w:rPr>
                <w:rFonts w:ascii="Times New Roman" w:eastAsia="Arial" w:hAnsi="Times New Roman" w:cs="Times New Roman"/>
              </w:rPr>
              <w:t>3</w:t>
            </w:r>
          </w:p>
        </w:tc>
        <w:tc>
          <w:tcPr>
            <w:tcW w:w="1170" w:type="dxa"/>
            <w:tcBorders>
              <w:left w:val="single" w:sz="4" w:space="0" w:color="auto"/>
              <w:right w:val="single" w:sz="4" w:space="0" w:color="auto"/>
            </w:tcBorders>
            <w:shd w:val="clear" w:color="000000" w:fill="FFFFFF"/>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67421434</w:t>
            </w:r>
          </w:p>
        </w:tc>
        <w:tc>
          <w:tcPr>
            <w:tcW w:w="878" w:type="dxa"/>
            <w:tcBorders>
              <w:left w:val="single" w:sz="4" w:space="0" w:color="auto"/>
              <w:right w:val="single" w:sz="4" w:space="0" w:color="auto"/>
            </w:tcBorders>
            <w:shd w:val="clear" w:color="000000" w:fill="FFFFFF"/>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45.8</w:t>
            </w:r>
          </w:p>
        </w:tc>
        <w:tc>
          <w:tcPr>
            <w:tcW w:w="2220" w:type="dxa"/>
            <w:tcBorders>
              <w:left w:val="single" w:sz="4" w:space="0" w:color="auto"/>
              <w:right w:val="single" w:sz="4" w:space="0" w:color="auto"/>
            </w:tcBorders>
            <w:shd w:val="clear" w:color="000000" w:fill="FFFFFF"/>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fldChar w:fldCharType="begin"/>
            </w:r>
            <w:r w:rsidRPr="001C3802">
              <w:rPr>
                <w:rFonts w:ascii="Times New Roman" w:eastAsia="Arial" w:hAnsi="Times New Roman" w:cs="Times New Roman"/>
              </w:rPr>
              <w:instrText xml:space="preserve"> ADDIN ZOTERO_ITEM CSL_CITATION {"citationID":"m72OHb7E","properties":{"formattedCitation":"(Russell et al., 2016)","plainCitation":"(Russell et al., 2016)","noteIndex":0},"citationItems":[{"id":5575,"uris":["http://zotero.org/groups/328762/items/3K2QQ53B"],"uri":["http://zotero.org/groups/328762/items/3K2QQ53B"],"itemData":{"id":5575,"type":"article-journal","title":"Exome sequencing of geographically diverse barley landraces and wild relatives gives insights into environmental adaptation","container-title":"Nature Genetics","page":"1024-1030","volume":"48","issue":"9","source":"www.nature.com.ezp3.lib.umn.edu","abstract":"After domestication, during a process of widespread range extension, barley adapted to a broad spectrum of agricultural environments. To explore how the barley genome responded to the environmental challenges it encountered, we sequenced the exomes of a collection of 267 georeferenced landraces and wild accessions. A combination of genome-wide analyses showed that patterns of variation have been strongly shaped by geography and that variant-by-environment associations for individual genes are prominent in our data set. We observed significant correlations of days to heading (flowering) and height with seasonal temperature and dryness variables in common garden experiments, suggesting that these traits were major drivers of environmental adaptation in the sampled germplasm. A detailed analysis of known flowering-associated genes showed that many contain extensive sequence variation and that patterns of single- and multiple-gene haplotypes exhibit strong geographical structuring. This variation appears to have substantially contributed to range-wide ecogeographical adaptation, but many factors key to regional success remain unidentified.","DOI":"10.1038/ng.3612","ISSN":"1546-1718","language":"en","author":[{"family":"Russell","given":"Joanne"},{"family":"Mascher","given":"Martin"},{"family":"Dawson","given":"Ian K."},{"family":"Kyriakidis","given":"Stylianos"},{"family":"Calixto","given":"Cristiane"},{"family":"Freund","given":"Fabian"},{"family":"Bayer","given":"Micha"},{"family":"Milne","given":"Iain"},{"family":"Marshall-Griffiths","given":"Tony"},{"family":"Heinen","given":"Shane"},{"family":"Hofstad","given":"Anna"},{"family":"Sharma","given":"Rajiv"},{"family":"Himmelbach","given":"Axel"},{"family":"Knauft","given":"Manuela"},{"family":"Zonneveld","given":"Maarten","dropping-particle":"van"},{"family":"Brown","given":"John W. S."},{"family":"Schmid","given":"Karl"},{"family":"Kilian","given":"Benjamin"},{"family":"Muehlbauer","given":"Gary J."},{"family":"Stein","given":"Nils"},{"family":"Waugh","given":"Robbie"}],"issued":{"date-parts":[["2016",9]]}}}],"schema":"https://github.com/citation-style-language/schema/raw/master/csl-citation.json"} </w:instrText>
            </w:r>
            <w:r w:rsidRPr="001C3802">
              <w:rPr>
                <w:rFonts w:ascii="Times New Roman" w:eastAsia="Arial" w:hAnsi="Times New Roman" w:cs="Times New Roman"/>
              </w:rPr>
              <w:fldChar w:fldCharType="separate"/>
            </w:r>
            <w:r w:rsidR="003B3687" w:rsidRPr="003B3687">
              <w:rPr>
                <w:rFonts w:ascii="Times New Roman" w:hAnsi="Times New Roman" w:cs="Times New Roman"/>
              </w:rPr>
              <w:t>(Russell et al., 2016)</w:t>
            </w:r>
            <w:r w:rsidRPr="001C3802">
              <w:rPr>
                <w:rFonts w:ascii="Times New Roman" w:eastAsia="Arial" w:hAnsi="Times New Roman" w:cs="Times New Roman"/>
              </w:rPr>
              <w:fldChar w:fldCharType="end"/>
            </w:r>
          </w:p>
        </w:tc>
      </w:tr>
      <w:tr w:rsidR="001C3802" w:rsidRPr="001C3802" w:rsidTr="00221BDF">
        <w:trPr>
          <w:trHeight w:val="260"/>
          <w:jc w:val="center"/>
        </w:trPr>
        <w:tc>
          <w:tcPr>
            <w:tcW w:w="2336" w:type="dxa"/>
            <w:tcBorders>
              <w:left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HORVU3Hr1G027590</w:t>
            </w:r>
          </w:p>
        </w:tc>
        <w:tc>
          <w:tcPr>
            <w:tcW w:w="2681" w:type="dxa"/>
            <w:tcBorders>
              <w:left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i/>
              </w:rPr>
              <w:t>FLOWERING LOCUS T 2</w:t>
            </w:r>
            <w:r w:rsidRPr="001C3802">
              <w:rPr>
                <w:rFonts w:ascii="Times New Roman" w:eastAsia="Arial" w:hAnsi="Times New Roman" w:cs="Times New Roman"/>
              </w:rPr>
              <w:t>-like (</w:t>
            </w:r>
            <w:r w:rsidRPr="001C3802">
              <w:rPr>
                <w:rFonts w:ascii="Times New Roman" w:eastAsia="Arial" w:hAnsi="Times New Roman" w:cs="Times New Roman"/>
                <w:i/>
              </w:rPr>
              <w:t>FT2</w:t>
            </w:r>
            <w:r w:rsidRPr="001C3802">
              <w:rPr>
                <w:rFonts w:ascii="Times New Roman" w:eastAsia="Arial" w:hAnsi="Times New Roman" w:cs="Times New Roman"/>
              </w:rPr>
              <w:t>)</w:t>
            </w:r>
          </w:p>
        </w:tc>
        <w:tc>
          <w:tcPr>
            <w:tcW w:w="3132" w:type="dxa"/>
            <w:tcBorders>
              <w:left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rPr>
                <w:rFonts w:ascii="Times New Roman" w:eastAsia="Arial" w:hAnsi="Times New Roman" w:cs="Times New Roman"/>
                <w:i/>
              </w:rPr>
            </w:pPr>
            <w:r w:rsidRPr="001C3802">
              <w:rPr>
                <w:rFonts w:ascii="Times New Roman" w:eastAsia="Arial" w:hAnsi="Times New Roman" w:cs="Times New Roman"/>
                <w:i/>
              </w:rPr>
              <w:t>FLOWERING LOCUS T-like</w:t>
            </w:r>
          </w:p>
        </w:tc>
        <w:tc>
          <w:tcPr>
            <w:tcW w:w="448" w:type="dxa"/>
            <w:tcBorders>
              <w:left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jc w:val="center"/>
              <w:rPr>
                <w:rFonts w:ascii="Times New Roman" w:eastAsia="Arial" w:hAnsi="Times New Roman" w:cs="Times New Roman"/>
              </w:rPr>
            </w:pPr>
            <w:r w:rsidRPr="001C3802">
              <w:rPr>
                <w:rFonts w:ascii="Times New Roman" w:eastAsia="Arial" w:hAnsi="Times New Roman" w:cs="Times New Roman"/>
              </w:rPr>
              <w:t>3</w:t>
            </w:r>
          </w:p>
        </w:tc>
        <w:tc>
          <w:tcPr>
            <w:tcW w:w="1170" w:type="dxa"/>
            <w:tcBorders>
              <w:left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119252011</w:t>
            </w:r>
          </w:p>
        </w:tc>
        <w:tc>
          <w:tcPr>
            <w:tcW w:w="878" w:type="dxa"/>
            <w:tcBorders>
              <w:left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45.5</w:t>
            </w:r>
          </w:p>
        </w:tc>
        <w:tc>
          <w:tcPr>
            <w:tcW w:w="2220" w:type="dxa"/>
            <w:tcBorders>
              <w:left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fldChar w:fldCharType="begin"/>
            </w:r>
            <w:r w:rsidRPr="001C3802">
              <w:rPr>
                <w:rFonts w:ascii="Times New Roman" w:eastAsia="Arial" w:hAnsi="Times New Roman" w:cs="Times New Roman"/>
              </w:rPr>
              <w:instrText xml:space="preserve"> ADDIN ZOTERO_ITEM CSL_CITATION {"citationID":"AxYjgaYu","properties":{"formattedCitation":"(Russell et al., 2016)","plainCitation":"(Russell et al., 2016)","noteIndex":0},"citationItems":[{"id":5575,"uris":["http://zotero.org/groups/328762/items/3K2QQ53B"],"uri":["http://zotero.org/groups/328762/items/3K2QQ53B"],"itemData":{"id":5575,"type":"article-journal","title":"Exome sequencing of geographically diverse barley landraces and wild relatives gives insights into environmental adaptation","container-title":"Nature Genetics","page":"1024-1030","volume":"48","issue":"9","source":"www.nature.com.ezp3.lib.umn.edu","abstract":"After domestication, during a process of widespread range extension, barley adapted to a broad spectrum of agricultural environments. To explore how the barley genome responded to the environmental challenges it encountered, we sequenced the exomes of a collection of 267 georeferenced landraces and wild accessions. A combination of genome-wide analyses showed that patterns of variation have been strongly shaped by geography and that variant-by-environment associations for individual genes are prominent in our data set. We observed significant correlations of days to heading (flowering) and height with seasonal temperature and dryness variables in common garden experiments, suggesting that these traits were major drivers of environmental adaptation in the sampled germplasm. A detailed analysis of known flowering-associated genes showed that many contain extensive sequence variation and that patterns of single- and multiple-gene haplotypes exhibit strong geographical structuring. This variation appears to have substantially contributed to range-wide ecogeographical adaptation, but many factors key to regional success remain unidentified.","DOI":"10.1038/ng.3612","ISSN":"1546-1718","language":"en","author":[{"family":"Russell","given":"Joanne"},{"family":"Mascher","given":"Martin"},{"family":"Dawson","given":"Ian K."},{"family":"Kyriakidis","given":"Stylianos"},{"family":"Calixto","given":"Cristiane"},{"family":"Freund","given":"Fabian"},{"family":"Bayer","given":"Micha"},{"family":"Milne","given":"Iain"},{"family":"Marshall-Griffiths","given":"Tony"},{"family":"Heinen","given":"Shane"},{"family":"Hofstad","given":"Anna"},{"family":"Sharma","given":"Rajiv"},{"family":"Himmelbach","given":"Axel"},{"family":"Knauft","given":"Manuela"},{"family":"Zonneveld","given":"Maarten","dropping-particle":"van"},{"family":"Brown","given":"John W. S."},{"family":"Schmid","given":"Karl"},{"family":"Kilian","given":"Benjamin"},{"family":"Muehlbauer","given":"Gary J."},{"family":"Stein","given":"Nils"},{"family":"Waugh","given":"Robbie"}],"issued":{"date-parts":[["2016",9]]}}}],"schema":"https://github.com/citation-style-language/schema/raw/master/csl-citation.json"} </w:instrText>
            </w:r>
            <w:r w:rsidRPr="001C3802">
              <w:rPr>
                <w:rFonts w:ascii="Times New Roman" w:eastAsia="Arial" w:hAnsi="Times New Roman" w:cs="Times New Roman"/>
              </w:rPr>
              <w:fldChar w:fldCharType="separate"/>
            </w:r>
            <w:r w:rsidR="003B3687" w:rsidRPr="003B3687">
              <w:rPr>
                <w:rFonts w:ascii="Times New Roman" w:hAnsi="Times New Roman" w:cs="Times New Roman"/>
              </w:rPr>
              <w:t>(Russell et al., 2016)</w:t>
            </w:r>
            <w:r w:rsidRPr="001C3802">
              <w:rPr>
                <w:rFonts w:ascii="Times New Roman" w:eastAsia="Arial" w:hAnsi="Times New Roman" w:cs="Times New Roman"/>
              </w:rPr>
              <w:fldChar w:fldCharType="end"/>
            </w:r>
          </w:p>
        </w:tc>
      </w:tr>
      <w:tr w:rsidR="001C3802" w:rsidRPr="001C3802" w:rsidTr="00221BDF">
        <w:trPr>
          <w:trHeight w:val="260"/>
          <w:jc w:val="center"/>
        </w:trPr>
        <w:tc>
          <w:tcPr>
            <w:tcW w:w="2336" w:type="dxa"/>
            <w:tcBorders>
              <w:left w:val="single" w:sz="4" w:space="0" w:color="auto"/>
              <w:right w:val="single" w:sz="4" w:space="0" w:color="auto"/>
            </w:tcBorders>
            <w:shd w:val="clear" w:color="000000" w:fill="FFFFFF"/>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HORVU3Hr1G079640</w:t>
            </w:r>
          </w:p>
        </w:tc>
        <w:tc>
          <w:tcPr>
            <w:tcW w:w="2681" w:type="dxa"/>
            <w:tcBorders>
              <w:left w:val="single" w:sz="4" w:space="0" w:color="auto"/>
              <w:right w:val="single" w:sz="4" w:space="0" w:color="auto"/>
            </w:tcBorders>
            <w:shd w:val="clear" w:color="000000" w:fill="FFFFFF"/>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i/>
              </w:rPr>
              <w:t>FLOWERING LOCUS D 4-</w:t>
            </w:r>
            <w:r w:rsidRPr="001C3802">
              <w:rPr>
                <w:rFonts w:ascii="Times New Roman" w:eastAsia="Arial" w:hAnsi="Times New Roman" w:cs="Times New Roman"/>
              </w:rPr>
              <w:t>like (</w:t>
            </w:r>
            <w:r w:rsidRPr="001C3802">
              <w:rPr>
                <w:rFonts w:ascii="Times New Roman" w:eastAsia="Arial" w:hAnsi="Times New Roman" w:cs="Times New Roman"/>
                <w:i/>
              </w:rPr>
              <w:t>FDL4</w:t>
            </w:r>
            <w:r w:rsidRPr="001C3802">
              <w:rPr>
                <w:rFonts w:ascii="Times New Roman" w:eastAsia="Arial" w:hAnsi="Times New Roman" w:cs="Times New Roman"/>
              </w:rPr>
              <w:t>)</w:t>
            </w:r>
          </w:p>
        </w:tc>
        <w:tc>
          <w:tcPr>
            <w:tcW w:w="3132" w:type="dxa"/>
            <w:tcBorders>
              <w:left w:val="single" w:sz="4" w:space="0" w:color="auto"/>
              <w:right w:val="single" w:sz="4" w:space="0" w:color="auto"/>
            </w:tcBorders>
            <w:shd w:val="clear" w:color="000000" w:fill="FFFFFF"/>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bZIP transcription factor</w:t>
            </w:r>
          </w:p>
        </w:tc>
        <w:tc>
          <w:tcPr>
            <w:tcW w:w="448" w:type="dxa"/>
            <w:tcBorders>
              <w:left w:val="single" w:sz="4" w:space="0" w:color="auto"/>
              <w:right w:val="single" w:sz="4" w:space="0" w:color="auto"/>
            </w:tcBorders>
            <w:shd w:val="clear" w:color="000000" w:fill="FFFFFF"/>
            <w:vAlign w:val="center"/>
            <w:hideMark/>
          </w:tcPr>
          <w:p w:rsidR="001C3802" w:rsidRPr="001C3802" w:rsidRDefault="001C3802" w:rsidP="001C3802">
            <w:pPr>
              <w:spacing w:after="0" w:line="240" w:lineRule="auto"/>
              <w:jc w:val="center"/>
              <w:rPr>
                <w:rFonts w:ascii="Times New Roman" w:eastAsia="Arial" w:hAnsi="Times New Roman" w:cs="Times New Roman"/>
              </w:rPr>
            </w:pPr>
            <w:r w:rsidRPr="001C3802">
              <w:rPr>
                <w:rFonts w:ascii="Times New Roman" w:eastAsia="Arial" w:hAnsi="Times New Roman" w:cs="Times New Roman"/>
              </w:rPr>
              <w:t>3</w:t>
            </w:r>
          </w:p>
        </w:tc>
        <w:tc>
          <w:tcPr>
            <w:tcW w:w="1170" w:type="dxa"/>
            <w:tcBorders>
              <w:left w:val="single" w:sz="4" w:space="0" w:color="auto"/>
              <w:right w:val="single" w:sz="4" w:space="0" w:color="auto"/>
            </w:tcBorders>
            <w:shd w:val="clear" w:color="000000" w:fill="FFFFFF"/>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584357437</w:t>
            </w:r>
          </w:p>
        </w:tc>
        <w:tc>
          <w:tcPr>
            <w:tcW w:w="878" w:type="dxa"/>
            <w:tcBorders>
              <w:left w:val="single" w:sz="4" w:space="0" w:color="auto"/>
              <w:right w:val="single" w:sz="4" w:space="0" w:color="auto"/>
            </w:tcBorders>
            <w:shd w:val="clear" w:color="000000" w:fill="FFFFFF"/>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76.45</w:t>
            </w:r>
          </w:p>
        </w:tc>
        <w:tc>
          <w:tcPr>
            <w:tcW w:w="2220" w:type="dxa"/>
            <w:tcBorders>
              <w:left w:val="single" w:sz="4" w:space="0" w:color="auto"/>
              <w:right w:val="single" w:sz="4" w:space="0" w:color="auto"/>
            </w:tcBorders>
            <w:shd w:val="clear" w:color="000000" w:fill="FFFFFF"/>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fldChar w:fldCharType="begin"/>
            </w:r>
            <w:r w:rsidRPr="001C3802">
              <w:rPr>
                <w:rFonts w:ascii="Times New Roman" w:eastAsia="Arial" w:hAnsi="Times New Roman" w:cs="Times New Roman"/>
              </w:rPr>
              <w:instrText xml:space="preserve"> ADDIN ZOTERO_ITEM CSL_CITATION {"citationID":"gLxV7xmg","properties":{"formattedCitation":"(Li et al., 2015)","plainCitation":"(Li et al., 2015)","noteIndex":0},"citationItems":[{"id":4767,"uris":["http://zotero.org/groups/328762/items/JRIM4C5U"],"uri":["http://zotero.org/groups/328762/items/JRIM4C5U"],"itemData":{"id":4767,"type":"article-journal","title":"Factorial Combinations of Protein Interactions Generate a Multiplicity of Florigen Activation Complexes in Wheat and Barley","container-title":"The Plant journal : for cell and molecular biology","page":"70-82","volume":"84","issue":"1","source":"PubMed Central","abstract":"The FLOWERING LOCUS T (FT) protein is a central component of a mobile flowering signal (florigen) that is transported from leaves to the shoot apical meristem (SAM). Two FT monomers and two DNA-binding bZIP transcription factors interact with a dimeric 14-3-3 protein bridge to form a hexameric protein complex. This complex, designated as “florigen activation complex” (FAC), plays a critical role in flowering. The wheat homolog of FT, designated FT1 (= VRN3), activates expression of VRN1 in the leaves and the SAM, promoting flowering under inductive long days. In this study, we show that FT1, other FT-like proteins, and different FD-like proteins, can interact with multiple wheat and barley 14-3-3 proteins. We also identify the critical amino acid residues in FT1 and FD-like proteins required for their interactions, and demonstrate that 14-3-3 proteins are necessary bridges to mediate the FT1-TaFDL2 interaction. Using in vivo bimolecular fluorescent complementation (BiFC) assays, we demonstrate that the interaction between FT1 and 14-3-3 occurs in the cytoplasm, and that this complex is then translocated to the nucleus, where it interacts with TaFDL2 to form a FAC. We also demonstrate that a FAC including FT1, TaFDL2 and Ta14-3-3C can bind to the VRN1 promoter in vitro. Finally, we show that relative transcript levels of FD-like and 14-3-3 genes vary among tissues and developmental stages. Since FD-like proteins determine the DNA specificity of the FACs, variation in FD-like gene expression can result in spatial and temporal modulation of the effects of mobile FT-like signals.","DOI":"10.1111/tpj.12960","ISSN":"0960-7412","note":"PMID: 26252567\nPMCID: PMC5104200","journalAbbreviation":"Plant J","author":[{"family":"Li","given":"Chengxia"},{"family":"Lin","given":"Huiqiong"},{"family":"Dubcovsky","given":"Jorge"}],"issued":{"date-parts":[["2015",10]]}}}],"schema":"https://github.com/citation-style-language/schema/raw/master/csl-citation.json"} </w:instrText>
            </w:r>
            <w:r w:rsidRPr="001C3802">
              <w:rPr>
                <w:rFonts w:ascii="Times New Roman" w:eastAsia="Arial" w:hAnsi="Times New Roman" w:cs="Times New Roman"/>
              </w:rPr>
              <w:fldChar w:fldCharType="separate"/>
            </w:r>
            <w:r w:rsidR="003B3687" w:rsidRPr="003B3687">
              <w:rPr>
                <w:rFonts w:ascii="Times New Roman" w:hAnsi="Times New Roman" w:cs="Times New Roman"/>
              </w:rPr>
              <w:t>(Li et al., 2015)</w:t>
            </w:r>
            <w:r w:rsidRPr="001C3802">
              <w:rPr>
                <w:rFonts w:ascii="Times New Roman" w:eastAsia="Arial" w:hAnsi="Times New Roman" w:cs="Times New Roman"/>
              </w:rPr>
              <w:fldChar w:fldCharType="end"/>
            </w:r>
          </w:p>
        </w:tc>
      </w:tr>
      <w:tr w:rsidR="001C3802" w:rsidRPr="001C3802" w:rsidTr="00221BDF">
        <w:trPr>
          <w:trHeight w:val="520"/>
          <w:jc w:val="center"/>
        </w:trPr>
        <w:tc>
          <w:tcPr>
            <w:tcW w:w="2336" w:type="dxa"/>
            <w:tcBorders>
              <w:left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HORVU3Hr1G086000</w:t>
            </w:r>
          </w:p>
        </w:tc>
        <w:tc>
          <w:tcPr>
            <w:tcW w:w="2681" w:type="dxa"/>
            <w:tcBorders>
              <w:left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i/>
              </w:rPr>
              <w:t>LUX ARRHYTHMO</w:t>
            </w:r>
            <w:r w:rsidRPr="001C3802">
              <w:rPr>
                <w:rFonts w:ascii="Times New Roman" w:eastAsia="Arial" w:hAnsi="Times New Roman" w:cs="Times New Roman"/>
              </w:rPr>
              <w:t>-like (</w:t>
            </w:r>
            <w:r w:rsidRPr="001C3802">
              <w:rPr>
                <w:rFonts w:ascii="Times New Roman" w:eastAsia="Arial" w:hAnsi="Times New Roman" w:cs="Times New Roman"/>
                <w:i/>
              </w:rPr>
              <w:t>LUX</w:t>
            </w:r>
            <w:r w:rsidRPr="001C3802">
              <w:rPr>
                <w:rFonts w:ascii="Times New Roman" w:eastAsia="Arial" w:hAnsi="Times New Roman" w:cs="Times New Roman"/>
              </w:rPr>
              <w:t>)/</w:t>
            </w:r>
            <w:r w:rsidRPr="001C3802">
              <w:rPr>
                <w:rFonts w:ascii="Times New Roman" w:eastAsia="Arial" w:hAnsi="Times New Roman" w:cs="Times New Roman"/>
              </w:rPr>
              <w:br/>
            </w:r>
            <w:r w:rsidRPr="001C3802">
              <w:rPr>
                <w:rFonts w:ascii="Times New Roman" w:eastAsia="Arial" w:hAnsi="Times New Roman" w:cs="Times New Roman"/>
                <w:i/>
              </w:rPr>
              <w:t>early maturity 10</w:t>
            </w:r>
            <w:r w:rsidRPr="001C3802">
              <w:rPr>
                <w:rFonts w:ascii="Times New Roman" w:eastAsia="Arial" w:hAnsi="Times New Roman" w:cs="Times New Roman"/>
              </w:rPr>
              <w:t xml:space="preserve"> (</w:t>
            </w:r>
            <w:r w:rsidRPr="001C3802">
              <w:rPr>
                <w:rFonts w:ascii="Times New Roman" w:eastAsia="Arial" w:hAnsi="Times New Roman" w:cs="Times New Roman"/>
                <w:i/>
              </w:rPr>
              <w:t>eam10</w:t>
            </w:r>
            <w:r w:rsidRPr="001C3802">
              <w:rPr>
                <w:rFonts w:ascii="Times New Roman" w:eastAsia="Arial" w:hAnsi="Times New Roman" w:cs="Times New Roman"/>
              </w:rPr>
              <w:t>)</w:t>
            </w:r>
          </w:p>
        </w:tc>
        <w:tc>
          <w:tcPr>
            <w:tcW w:w="3132" w:type="dxa"/>
            <w:tcBorders>
              <w:left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Myb family transcription factor</w:t>
            </w:r>
          </w:p>
        </w:tc>
        <w:tc>
          <w:tcPr>
            <w:tcW w:w="448" w:type="dxa"/>
            <w:tcBorders>
              <w:left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jc w:val="center"/>
              <w:rPr>
                <w:rFonts w:ascii="Times New Roman" w:eastAsia="Arial" w:hAnsi="Times New Roman" w:cs="Times New Roman"/>
              </w:rPr>
            </w:pPr>
            <w:r w:rsidRPr="001C3802">
              <w:rPr>
                <w:rFonts w:ascii="Times New Roman" w:eastAsia="Arial" w:hAnsi="Times New Roman" w:cs="Times New Roman"/>
              </w:rPr>
              <w:t>3</w:t>
            </w:r>
          </w:p>
        </w:tc>
        <w:tc>
          <w:tcPr>
            <w:tcW w:w="1170" w:type="dxa"/>
            <w:tcBorders>
              <w:left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615106969</w:t>
            </w:r>
          </w:p>
        </w:tc>
        <w:tc>
          <w:tcPr>
            <w:tcW w:w="878" w:type="dxa"/>
            <w:tcBorders>
              <w:left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92.71</w:t>
            </w:r>
          </w:p>
        </w:tc>
        <w:tc>
          <w:tcPr>
            <w:tcW w:w="2220" w:type="dxa"/>
            <w:tcBorders>
              <w:left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fldChar w:fldCharType="begin"/>
            </w:r>
            <w:r>
              <w:rPr>
                <w:rFonts w:ascii="Times New Roman" w:eastAsia="Arial" w:hAnsi="Times New Roman" w:cs="Times New Roman"/>
              </w:rPr>
              <w:instrText xml:space="preserve"> ADDIN ZOTERO_ITEM CSL_CITATION {"citationID":"5JtsvxQp","properties":{"formattedCitation":"(Campoli et al., 2013)","plainCitation":"(Campoli et al., 2013)","noteIndex":0},"citationItems":[{"id":3078,"uris":["http://zotero.org/users/1038722/items/D62DX3WP"],"uri":["http://zotero.org/users/1038722/items/D62DX3WP"],"itemData":{"id":3078,"type":"article-journal","title":"&lt;i&gt;HvLUX1&lt;/i&gt; is a candidate gene underlying the early maturity 10 locus in barley: phylogeny, diversity, and interactions with the circadian clock and photoperiodic pathways","container-title":"The New Phytologist","page":"1045-1059","volume":"199","issue":"4","source":"PubMed Central","abstract":"Photoperiodic flowering is a major factor determining crop performance and is controlled by interactions between environmental signals and the circadian clock. We proposed Hvlux1, an ortholog of the Arabidopsis circadian gene LUX ARRHYTHMO, as a candidate underlying the early maturity 10 (eam10) locus in barley (Hordeum vulgare L.).\n            \n            \n              The link between eam10 and Hvlux1 was discovered using high-throughput sequencing of enriched libraries and segregation analysis. We conducted functional, phylogenetic, and diversity studies of eam10 and HvLUX1 to understand the genetic control of photoperiod response in barley and to characterize the evolution of LUX-like genes within barley and across monocots and eudicots.\n            \n            \n              We demonstrate that eam10 causes circadian defects and interacts with the photoperiod response gene Ppd-H1 to accelerate flowering under long and short days. The results of phylogenetic and diversity analyses indicate that HvLUX1 was under purifying selection, duplicated at the base of the grass clade, and diverged independently of LUX-like genes in other plant lineages.\n            \n            \n              Taken together, these findings contribute to improved understanding of the barley circadian clock, its interaction with the photoperiod pathway, and evolution of circadian systems in barley and across monocots and eudicots.","DOI":"10.1111/nph.12346","ISSN":"0028-646X","note":"PMID: 23731278\nPMCID: PMC3902989","title-short":"HvLUX1 is a candidate gene underlying the early maturity 10 locus in barley","journalAbbreviation":"New Phytol","author":[{"family":"Campoli","given":"Chiara"},{"family":"Pankin","given":"Artem"},{"family":"Drosse","given":"Benedikt"},{"family":"Casao","given":"Cristina M"},{"family":"Davis","given":"Seth J"},{"family":"Korff","given":"Maria","non-dropping-particle":"von"}],"issued":{"date-parts":[["2013",9]]}}}],"schema":"https://github.com/citation-style-language/schema/raw/master/csl-citation.json"} </w:instrText>
            </w:r>
            <w:r w:rsidRPr="001C3802">
              <w:rPr>
                <w:rFonts w:ascii="Times New Roman" w:eastAsia="Arial" w:hAnsi="Times New Roman" w:cs="Times New Roman"/>
              </w:rPr>
              <w:fldChar w:fldCharType="separate"/>
            </w:r>
            <w:r w:rsidR="003B3687" w:rsidRPr="003B3687">
              <w:rPr>
                <w:rFonts w:ascii="Times New Roman" w:hAnsi="Times New Roman" w:cs="Times New Roman"/>
              </w:rPr>
              <w:t>(Campoli et al., 2013)</w:t>
            </w:r>
            <w:r w:rsidRPr="001C3802">
              <w:rPr>
                <w:rFonts w:ascii="Times New Roman" w:eastAsia="Arial" w:hAnsi="Times New Roman" w:cs="Times New Roman"/>
              </w:rPr>
              <w:fldChar w:fldCharType="end"/>
            </w:r>
          </w:p>
        </w:tc>
      </w:tr>
      <w:tr w:rsidR="001C3802" w:rsidRPr="001C3802" w:rsidTr="00221BDF">
        <w:trPr>
          <w:trHeight w:val="520"/>
          <w:jc w:val="center"/>
        </w:trPr>
        <w:tc>
          <w:tcPr>
            <w:tcW w:w="2336" w:type="dxa"/>
            <w:tcBorders>
              <w:left w:val="single" w:sz="4" w:space="0" w:color="auto"/>
              <w:right w:val="single" w:sz="4" w:space="0" w:color="auto"/>
            </w:tcBorders>
            <w:shd w:val="clear" w:color="000000" w:fill="FFFFFF"/>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HORVU4Hr1G021010</w:t>
            </w:r>
          </w:p>
        </w:tc>
        <w:tc>
          <w:tcPr>
            <w:tcW w:w="2681" w:type="dxa"/>
            <w:tcBorders>
              <w:left w:val="single" w:sz="4" w:space="0" w:color="auto"/>
              <w:right w:val="single" w:sz="4" w:space="0" w:color="auto"/>
            </w:tcBorders>
            <w:shd w:val="clear" w:color="000000" w:fill="FFFFFF"/>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PSUEDO RESPONSE REGULATOR 59-like (PRR59)</w:t>
            </w:r>
          </w:p>
        </w:tc>
        <w:tc>
          <w:tcPr>
            <w:tcW w:w="3132" w:type="dxa"/>
            <w:tcBorders>
              <w:left w:val="single" w:sz="4" w:space="0" w:color="auto"/>
              <w:right w:val="single" w:sz="4" w:space="0" w:color="auto"/>
            </w:tcBorders>
            <w:shd w:val="clear" w:color="000000" w:fill="FFFFFF"/>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Two-component pseudo response regulator</w:t>
            </w:r>
          </w:p>
        </w:tc>
        <w:tc>
          <w:tcPr>
            <w:tcW w:w="448" w:type="dxa"/>
            <w:tcBorders>
              <w:left w:val="single" w:sz="4" w:space="0" w:color="auto"/>
              <w:right w:val="single" w:sz="4" w:space="0" w:color="auto"/>
            </w:tcBorders>
            <w:shd w:val="clear" w:color="000000" w:fill="FFFFFF"/>
            <w:vAlign w:val="center"/>
            <w:hideMark/>
          </w:tcPr>
          <w:p w:rsidR="001C3802" w:rsidRPr="001C3802" w:rsidRDefault="001C3802" w:rsidP="001C3802">
            <w:pPr>
              <w:spacing w:after="0" w:line="240" w:lineRule="auto"/>
              <w:jc w:val="center"/>
              <w:rPr>
                <w:rFonts w:ascii="Times New Roman" w:eastAsia="Arial" w:hAnsi="Times New Roman" w:cs="Times New Roman"/>
              </w:rPr>
            </w:pPr>
            <w:r w:rsidRPr="001C3802">
              <w:rPr>
                <w:rFonts w:ascii="Times New Roman" w:eastAsia="Arial" w:hAnsi="Times New Roman" w:cs="Times New Roman"/>
              </w:rPr>
              <w:t>4</w:t>
            </w:r>
          </w:p>
        </w:tc>
        <w:tc>
          <w:tcPr>
            <w:tcW w:w="1170" w:type="dxa"/>
            <w:tcBorders>
              <w:left w:val="single" w:sz="4" w:space="0" w:color="auto"/>
              <w:right w:val="single" w:sz="4" w:space="0" w:color="auto"/>
            </w:tcBorders>
            <w:shd w:val="clear" w:color="000000" w:fill="FFFFFF"/>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105940577</w:t>
            </w:r>
          </w:p>
        </w:tc>
        <w:tc>
          <w:tcPr>
            <w:tcW w:w="878" w:type="dxa"/>
            <w:tcBorders>
              <w:left w:val="single" w:sz="4" w:space="0" w:color="auto"/>
              <w:right w:val="single" w:sz="4" w:space="0" w:color="auto"/>
            </w:tcBorders>
            <w:shd w:val="clear" w:color="000000" w:fill="FFFFFF"/>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51.3</w:t>
            </w:r>
          </w:p>
        </w:tc>
        <w:tc>
          <w:tcPr>
            <w:tcW w:w="2220" w:type="dxa"/>
            <w:tcBorders>
              <w:left w:val="single" w:sz="4" w:space="0" w:color="auto"/>
              <w:right w:val="single" w:sz="4" w:space="0" w:color="auto"/>
            </w:tcBorders>
            <w:shd w:val="clear" w:color="000000" w:fill="FFFFFF"/>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fldChar w:fldCharType="begin"/>
            </w:r>
            <w:r w:rsidR="0054616F">
              <w:rPr>
                <w:rFonts w:ascii="Times New Roman" w:eastAsia="Arial" w:hAnsi="Times New Roman" w:cs="Times New Roman"/>
              </w:rPr>
              <w:instrText xml:space="preserve"> ADDIN ZOTERO_ITEM CSL_CITATION {"citationID":"xu4HYDl4","properties":{"formattedCitation":"(Campoli et al., 2012)","plainCitation":"(Campoli et al., 2012)","noteIndex":0},"citationItems":[{"id":5712,"uris":["http://zotero.org/groups/328762/items/Z9AXZILS"],"uri":["http://zotero.org/groups/328762/items/Z9AXZILS"],"itemData":{"id":5712,"type":"article-journal","title":"Expression conservation within the circadian clock of a monocot: natural variation at barley &lt;i&gt;Ppd-H1&lt;/i&gt; affects circadian expression of flowering time genes, but not clock orthologs","container-title":"BMC Plant Biology","page":"1-15","volume":"12","issue":"1","source":"BioMed Central","abstract":"The circadian clock is an endogenous mechanism that coordinates biological processes with daily changes in the environment. In plants, circadian rhythms contribute to both agricultural productivity and evolutionary fitness. In barley, the photoperiod response regulator and flowering-time gene Ppd-H1 is orthologous to the Arabidopsis core-clock gene PRR7. However, relatively little is known about the role of Ppd-H1 and other components of the circadian clock in temperate crop species. In this study, we identified barley clock orthologs and tested the effects of natural genetic variation at Ppd-H1 on diurnal and circadian expression of clock and output genes from the photoperiod-response pathway.","DOI":"10.1186/1471-2229-12-97","ISSN":"1471-2229","title-short":"Expression conservation within the circadian clock of a monocot","journalAbbreviation":"BMC Plant Biology","author":[{"family":"Campoli","given":"Chiara"},{"family":"Shtaya","given":"Munqez"},{"family":"Davis","given":"Seth J."},{"family":"Korff","given":"Maria","non-dropping-particle":"von"}],"issued":{"date-parts":[["2012",6,21]]}}}],"schema":"https://github.com/citation-style-language/schema/raw/master/csl-citation.json"} </w:instrText>
            </w:r>
            <w:r w:rsidRPr="001C3802">
              <w:rPr>
                <w:rFonts w:ascii="Times New Roman" w:eastAsia="Arial" w:hAnsi="Times New Roman" w:cs="Times New Roman"/>
              </w:rPr>
              <w:fldChar w:fldCharType="separate"/>
            </w:r>
            <w:r w:rsidR="003B3687" w:rsidRPr="003B3687">
              <w:rPr>
                <w:rFonts w:ascii="Times New Roman" w:hAnsi="Times New Roman" w:cs="Times New Roman"/>
              </w:rPr>
              <w:t>(Campoli et al., 2012)</w:t>
            </w:r>
            <w:r w:rsidRPr="001C3802">
              <w:rPr>
                <w:rFonts w:ascii="Times New Roman" w:eastAsia="Arial" w:hAnsi="Times New Roman" w:cs="Times New Roman"/>
              </w:rPr>
              <w:fldChar w:fldCharType="end"/>
            </w:r>
          </w:p>
        </w:tc>
      </w:tr>
      <w:tr w:rsidR="001C3802" w:rsidRPr="001C3802" w:rsidTr="00221BDF">
        <w:trPr>
          <w:trHeight w:val="520"/>
          <w:jc w:val="center"/>
        </w:trPr>
        <w:tc>
          <w:tcPr>
            <w:tcW w:w="2336" w:type="dxa"/>
            <w:tcBorders>
              <w:left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HORVU4Hr1G039300</w:t>
            </w:r>
          </w:p>
        </w:tc>
        <w:tc>
          <w:tcPr>
            <w:tcW w:w="2681" w:type="dxa"/>
            <w:tcBorders>
              <w:left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i/>
              </w:rPr>
              <w:t>FLAVIN-BINDING, KELCH REPEAT, F-BOX 1</w:t>
            </w:r>
            <w:r w:rsidRPr="001C3802">
              <w:rPr>
                <w:rFonts w:ascii="Times New Roman" w:eastAsia="Arial" w:hAnsi="Times New Roman" w:cs="Times New Roman"/>
              </w:rPr>
              <w:t>-like (</w:t>
            </w:r>
            <w:r w:rsidRPr="001C3802">
              <w:rPr>
                <w:rFonts w:ascii="Times New Roman" w:eastAsia="Arial" w:hAnsi="Times New Roman" w:cs="Times New Roman"/>
                <w:i/>
              </w:rPr>
              <w:t>FKF1</w:t>
            </w:r>
            <w:r w:rsidRPr="001C3802">
              <w:rPr>
                <w:rFonts w:ascii="Times New Roman" w:eastAsia="Arial" w:hAnsi="Times New Roman" w:cs="Times New Roman"/>
              </w:rPr>
              <w:t xml:space="preserve">) </w:t>
            </w:r>
          </w:p>
        </w:tc>
        <w:tc>
          <w:tcPr>
            <w:tcW w:w="3132" w:type="dxa"/>
            <w:tcBorders>
              <w:left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Flavin-Binding, Kelch Repeat, F-Box protein</w:t>
            </w:r>
          </w:p>
        </w:tc>
        <w:tc>
          <w:tcPr>
            <w:tcW w:w="448" w:type="dxa"/>
            <w:tcBorders>
              <w:left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jc w:val="center"/>
              <w:rPr>
                <w:rFonts w:ascii="Times New Roman" w:eastAsia="Arial" w:hAnsi="Times New Roman" w:cs="Times New Roman"/>
              </w:rPr>
            </w:pPr>
            <w:r w:rsidRPr="001C3802">
              <w:rPr>
                <w:rFonts w:ascii="Times New Roman" w:eastAsia="Arial" w:hAnsi="Times New Roman" w:cs="Times New Roman"/>
              </w:rPr>
              <w:t>4</w:t>
            </w:r>
          </w:p>
        </w:tc>
        <w:tc>
          <w:tcPr>
            <w:tcW w:w="1170" w:type="dxa"/>
            <w:tcBorders>
              <w:left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300696992</w:t>
            </w:r>
          </w:p>
        </w:tc>
        <w:tc>
          <w:tcPr>
            <w:tcW w:w="878" w:type="dxa"/>
            <w:tcBorders>
              <w:left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52.5</w:t>
            </w:r>
          </w:p>
        </w:tc>
        <w:tc>
          <w:tcPr>
            <w:tcW w:w="2220" w:type="dxa"/>
            <w:tcBorders>
              <w:left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fldChar w:fldCharType="begin"/>
            </w:r>
            <w:r w:rsidRPr="001C3802">
              <w:rPr>
                <w:rFonts w:ascii="Times New Roman" w:eastAsia="Arial" w:hAnsi="Times New Roman" w:cs="Times New Roman"/>
              </w:rPr>
              <w:instrText xml:space="preserve"> ADDIN ZOTERO_ITEM CSL_CITATION {"citationID":"Um3sLlFA","properties":{"formattedCitation":"(Calixto et al., 2015)","plainCitation":"(Calixto et al., 2015)","noteIndex":0},"citationItems":[{"id":5811,"uris":["http://zotero.org/groups/328762/items/M6XVRAW5"],"uri":["http://zotero.org/groups/328762/items/M6XVRAW5"],"itemData":{"id":5811,"type":"article-journal","title":"Evolutionary Relationships Among Barley and Arabidopsis Core Circadian Clock and Clock-Associated Genes","container-title":"Journal of Molecular Evolution","page":"108-119","volume":"80","source":"PubMed Central","abstract":"The circadian clock regulates a multitude of plant developmental and metabolic processes. In crop species, it contributes significantly to plant performance and productivity and to the adaptation and geographical range over which crops can be grown. To understand the clock in barley and how it relates to the components in the Arabidopsis thaliana clock, we have performed a systematic analysis of core circadian clock and clock-associated genes in barley, Arabidopsis and another eight species including tomato, potato, a range of monocotyledonous species and the moss, Physcomitrella patens. We have identified orthologues and paralogues of Arabidopsis genes which are conserved in all species, monocot/dicot differences, species-specific differences and variation in gene copy number (e.g. gene duplications among the various species). We propose that the common ancestor of barley and Arabidopsis had two-thirds of the key clock components identified in Arabidopsis prior to the separation of the monocot/dicot groups. After this separation, multiple independent gene duplication events took place in both monocot and dicot ancestors.","DOI":"10.1007/s00239-015-9665-0","ISSN":"0022-2844","note":"PMID: 25608480\nPMCID: PMC4320304","journalAbbreviation":"J Mol Evol","author":[{"family":"Calixto","given":"Cristiane P. G."},{"family":"Waugh","given":"Robbie"},{"family":"Brown","given":"John W. S."}],"issued":{"date-parts":[["2015"]]}}}],"schema":"https://github.com/citation-style-language/schema/raw/master/csl-citation.json"} </w:instrText>
            </w:r>
            <w:r w:rsidRPr="001C3802">
              <w:rPr>
                <w:rFonts w:ascii="Times New Roman" w:eastAsia="Arial" w:hAnsi="Times New Roman" w:cs="Times New Roman"/>
              </w:rPr>
              <w:fldChar w:fldCharType="separate"/>
            </w:r>
            <w:r w:rsidR="003B3687" w:rsidRPr="003B3687">
              <w:rPr>
                <w:rFonts w:ascii="Times New Roman" w:hAnsi="Times New Roman" w:cs="Times New Roman"/>
              </w:rPr>
              <w:t>(Calixto et al., 2015)</w:t>
            </w:r>
            <w:r w:rsidRPr="001C3802">
              <w:rPr>
                <w:rFonts w:ascii="Times New Roman" w:eastAsia="Arial" w:hAnsi="Times New Roman" w:cs="Times New Roman"/>
              </w:rPr>
              <w:fldChar w:fldCharType="end"/>
            </w:r>
          </w:p>
        </w:tc>
      </w:tr>
      <w:tr w:rsidR="001C3802" w:rsidRPr="001C3802" w:rsidTr="00221BDF">
        <w:trPr>
          <w:trHeight w:val="310"/>
          <w:jc w:val="center"/>
        </w:trPr>
        <w:tc>
          <w:tcPr>
            <w:tcW w:w="2336" w:type="dxa"/>
            <w:tcBorders>
              <w:left w:val="single" w:sz="4" w:space="0" w:color="auto"/>
              <w:right w:val="single" w:sz="4" w:space="0" w:color="auto"/>
            </w:tcBorders>
            <w:shd w:val="clear" w:color="000000" w:fill="FFFFFF"/>
            <w:vAlign w:val="center"/>
            <w:hideMark/>
          </w:tcPr>
          <w:p w:rsidR="001C3802" w:rsidRPr="001C3802" w:rsidRDefault="001C3802" w:rsidP="00C16B01">
            <w:pPr>
              <w:spacing w:after="0" w:line="240" w:lineRule="auto"/>
              <w:rPr>
                <w:rFonts w:ascii="Times New Roman" w:eastAsia="Arial" w:hAnsi="Times New Roman" w:cs="Times New Roman"/>
              </w:rPr>
            </w:pPr>
            <w:r w:rsidRPr="001C3802">
              <w:rPr>
                <w:rFonts w:ascii="Times New Roman" w:eastAsia="Arial" w:hAnsi="Times New Roman" w:cs="Times New Roman"/>
              </w:rPr>
              <w:t>AK361423</w:t>
            </w:r>
            <w:r w:rsidR="00C16B01" w:rsidRPr="00C16B01">
              <w:rPr>
                <w:rFonts w:ascii="Times New Roman" w:eastAsia="Arial" w:hAnsi="Times New Roman" w:cs="Times New Roman"/>
                <w:i/>
                <w:vertAlign w:val="superscript"/>
              </w:rPr>
              <w:t>b</w:t>
            </w:r>
          </w:p>
        </w:tc>
        <w:tc>
          <w:tcPr>
            <w:tcW w:w="2681" w:type="dxa"/>
            <w:tcBorders>
              <w:left w:val="single" w:sz="4" w:space="0" w:color="auto"/>
              <w:right w:val="single" w:sz="4" w:space="0" w:color="auto"/>
            </w:tcBorders>
            <w:shd w:val="clear" w:color="000000" w:fill="FFFFFF"/>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i/>
              </w:rPr>
              <w:t>FLOWERING LOCUS D 5</w:t>
            </w:r>
            <w:r w:rsidRPr="001C3802">
              <w:rPr>
                <w:rFonts w:ascii="Times New Roman" w:eastAsia="Arial" w:hAnsi="Times New Roman" w:cs="Times New Roman"/>
              </w:rPr>
              <w:t>-like (</w:t>
            </w:r>
            <w:r w:rsidRPr="001C3802">
              <w:rPr>
                <w:rFonts w:ascii="Times New Roman" w:eastAsia="Arial" w:hAnsi="Times New Roman" w:cs="Times New Roman"/>
                <w:i/>
              </w:rPr>
              <w:t>FDL5</w:t>
            </w:r>
            <w:r w:rsidRPr="001C3802">
              <w:rPr>
                <w:rFonts w:ascii="Times New Roman" w:eastAsia="Arial" w:hAnsi="Times New Roman" w:cs="Times New Roman"/>
              </w:rPr>
              <w:t>)</w:t>
            </w:r>
          </w:p>
        </w:tc>
        <w:tc>
          <w:tcPr>
            <w:tcW w:w="3132" w:type="dxa"/>
            <w:tcBorders>
              <w:left w:val="single" w:sz="4" w:space="0" w:color="auto"/>
              <w:right w:val="single" w:sz="4" w:space="0" w:color="auto"/>
            </w:tcBorders>
            <w:shd w:val="clear" w:color="000000" w:fill="FFFFFF"/>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bZIP transcription factor</w:t>
            </w:r>
          </w:p>
        </w:tc>
        <w:tc>
          <w:tcPr>
            <w:tcW w:w="448" w:type="dxa"/>
            <w:tcBorders>
              <w:left w:val="single" w:sz="4" w:space="0" w:color="auto"/>
              <w:right w:val="single" w:sz="4" w:space="0" w:color="auto"/>
            </w:tcBorders>
            <w:shd w:val="clear" w:color="000000" w:fill="FFFFFF"/>
            <w:vAlign w:val="center"/>
            <w:hideMark/>
          </w:tcPr>
          <w:p w:rsidR="001C3802" w:rsidRPr="001C3802" w:rsidRDefault="001C3802" w:rsidP="001C3802">
            <w:pPr>
              <w:spacing w:after="0" w:line="240" w:lineRule="auto"/>
              <w:jc w:val="center"/>
              <w:rPr>
                <w:rFonts w:ascii="Times New Roman" w:eastAsia="Arial" w:hAnsi="Times New Roman" w:cs="Times New Roman"/>
              </w:rPr>
            </w:pPr>
            <w:r w:rsidRPr="001C3802">
              <w:rPr>
                <w:rFonts w:ascii="Times New Roman" w:eastAsia="Arial" w:hAnsi="Times New Roman" w:cs="Times New Roman"/>
              </w:rPr>
              <w:t>4</w:t>
            </w:r>
          </w:p>
        </w:tc>
        <w:tc>
          <w:tcPr>
            <w:tcW w:w="1170" w:type="dxa"/>
            <w:tcBorders>
              <w:left w:val="single" w:sz="4" w:space="0" w:color="auto"/>
              <w:right w:val="single" w:sz="4" w:space="0" w:color="auto"/>
            </w:tcBorders>
            <w:shd w:val="clear" w:color="000000" w:fill="FFFFFF"/>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427458289</w:t>
            </w:r>
          </w:p>
        </w:tc>
        <w:tc>
          <w:tcPr>
            <w:tcW w:w="878" w:type="dxa"/>
            <w:tcBorders>
              <w:left w:val="single" w:sz="4" w:space="0" w:color="auto"/>
              <w:right w:val="single" w:sz="4" w:space="0" w:color="auto"/>
            </w:tcBorders>
            <w:shd w:val="clear" w:color="000000" w:fill="FFFFFF"/>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51.51</w:t>
            </w:r>
          </w:p>
        </w:tc>
        <w:tc>
          <w:tcPr>
            <w:tcW w:w="2220" w:type="dxa"/>
            <w:tcBorders>
              <w:left w:val="single" w:sz="4" w:space="0" w:color="auto"/>
              <w:right w:val="single" w:sz="4" w:space="0" w:color="auto"/>
            </w:tcBorders>
            <w:shd w:val="clear" w:color="000000" w:fill="FFFFFF"/>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fldChar w:fldCharType="begin"/>
            </w:r>
            <w:r w:rsidRPr="001C3802">
              <w:rPr>
                <w:rFonts w:ascii="Times New Roman" w:eastAsia="Arial" w:hAnsi="Times New Roman" w:cs="Times New Roman"/>
              </w:rPr>
              <w:instrText xml:space="preserve"> ADDIN ZOTERO_ITEM CSL_CITATION {"citationID":"ZN4NyTB6","properties":{"formattedCitation":"(Li et al., 2015)","plainCitation":"(Li et al., 2015)","noteIndex":0},"citationItems":[{"id":4767,"uris":["http://zotero.org/groups/328762/items/JRIM4C5U"],"uri":["http://zotero.org/groups/328762/items/JRIM4C5U"],"itemData":{"id":4767,"type":"article-journal","title":"Factorial Combinations of Protein Interactions Generate a Multiplicity of Florigen Activation Complexes in Wheat and Barley","container-title":"The Plant journal : for cell and molecular biology","page":"70-82","volume":"84","issue":"1","source":"PubMed Central","abstract":"The FLOWERING LOCUS T (FT) protein is a central component of a mobile flowering signal (florigen) that is transported from leaves to the shoot apical meristem (SAM). Two FT monomers and two DNA-binding bZIP transcription factors interact with a dimeric 14-3-3 protein bridge to form a hexameric protein complex. This complex, designated as “florigen activation complex” (FAC), plays a critical role in flowering. The wheat homolog of FT, designated FT1 (= VRN3), activates expression of VRN1 in the leaves and the SAM, promoting flowering under inductive long days. In this study, we show that FT1, other FT-like proteins, and different FD-like proteins, can interact with multiple wheat and barley 14-3-3 proteins. We also identify the critical amino acid residues in FT1 and FD-like proteins required for their interactions, and demonstrate that 14-3-3 proteins are necessary bridges to mediate the FT1-TaFDL2 interaction. Using in vivo bimolecular fluorescent complementation (BiFC) assays, we demonstrate that the interaction between FT1 and 14-3-3 occurs in the cytoplasm, and that this complex is then translocated to the nucleus, where it interacts with TaFDL2 to form a FAC. We also demonstrate that a FAC including FT1, TaFDL2 and Ta14-3-3C can bind to the VRN1 promoter in vitro. Finally, we show that relative transcript levels of FD-like and 14-3-3 genes vary among tissues and developmental stages. Since FD-like proteins determine the DNA specificity of the FACs, variation in FD-like gene expression can result in spatial and temporal modulation of the effects of mobile FT-like signals.","DOI":"10.1111/tpj.12960","ISSN":"0960-7412","note":"PMID: 26252567\nPMCID: PMC5104200","journalAbbreviation":"Plant J","author":[{"family":"Li","given":"Chengxia"},{"family":"Lin","given":"Huiqiong"},{"family":"Dubcovsky","given":"Jorge"}],"issued":{"date-parts":[["2015",10]]}}}],"schema":"https://github.com/citation-style-language/schema/raw/master/csl-citation.json"} </w:instrText>
            </w:r>
            <w:r w:rsidRPr="001C3802">
              <w:rPr>
                <w:rFonts w:ascii="Times New Roman" w:eastAsia="Arial" w:hAnsi="Times New Roman" w:cs="Times New Roman"/>
              </w:rPr>
              <w:fldChar w:fldCharType="separate"/>
            </w:r>
            <w:r w:rsidR="003B3687" w:rsidRPr="003B3687">
              <w:rPr>
                <w:rFonts w:ascii="Times New Roman" w:hAnsi="Times New Roman" w:cs="Times New Roman"/>
              </w:rPr>
              <w:t>(Li et al., 2015)</w:t>
            </w:r>
            <w:r w:rsidRPr="001C3802">
              <w:rPr>
                <w:rFonts w:ascii="Times New Roman" w:eastAsia="Arial" w:hAnsi="Times New Roman" w:cs="Times New Roman"/>
              </w:rPr>
              <w:fldChar w:fldCharType="end"/>
            </w:r>
          </w:p>
        </w:tc>
      </w:tr>
      <w:tr w:rsidR="001C3802" w:rsidRPr="001C3802" w:rsidTr="00221BDF">
        <w:trPr>
          <w:trHeight w:val="260"/>
          <w:jc w:val="center"/>
        </w:trPr>
        <w:tc>
          <w:tcPr>
            <w:tcW w:w="2336" w:type="dxa"/>
            <w:tcBorders>
              <w:left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HORVU4Hr1G090390</w:t>
            </w:r>
          </w:p>
        </w:tc>
        <w:tc>
          <w:tcPr>
            <w:tcW w:w="2681" w:type="dxa"/>
            <w:tcBorders>
              <w:left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i/>
              </w:rPr>
              <w:t>FLOWERING LOCUS T 5</w:t>
            </w:r>
            <w:r w:rsidRPr="001C3802">
              <w:rPr>
                <w:rFonts w:ascii="Times New Roman" w:eastAsia="Arial" w:hAnsi="Times New Roman" w:cs="Times New Roman"/>
              </w:rPr>
              <w:t>-like (</w:t>
            </w:r>
            <w:r w:rsidRPr="001C3802">
              <w:rPr>
                <w:rFonts w:ascii="Times New Roman" w:eastAsia="Arial" w:hAnsi="Times New Roman" w:cs="Times New Roman"/>
                <w:i/>
              </w:rPr>
              <w:t>FT5</w:t>
            </w:r>
            <w:r w:rsidRPr="001C3802">
              <w:rPr>
                <w:rFonts w:ascii="Times New Roman" w:eastAsia="Arial" w:hAnsi="Times New Roman" w:cs="Times New Roman"/>
              </w:rPr>
              <w:t>)</w:t>
            </w:r>
          </w:p>
        </w:tc>
        <w:tc>
          <w:tcPr>
            <w:tcW w:w="3132" w:type="dxa"/>
            <w:tcBorders>
              <w:left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i/>
              </w:rPr>
              <w:t>FLOWERING LOCUS T-like</w:t>
            </w:r>
          </w:p>
        </w:tc>
        <w:tc>
          <w:tcPr>
            <w:tcW w:w="448" w:type="dxa"/>
            <w:tcBorders>
              <w:left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jc w:val="center"/>
              <w:rPr>
                <w:rFonts w:ascii="Times New Roman" w:eastAsia="Arial" w:hAnsi="Times New Roman" w:cs="Times New Roman"/>
              </w:rPr>
            </w:pPr>
            <w:r w:rsidRPr="001C3802">
              <w:rPr>
                <w:rFonts w:ascii="Times New Roman" w:eastAsia="Arial" w:hAnsi="Times New Roman" w:cs="Times New Roman"/>
              </w:rPr>
              <w:t>4</w:t>
            </w:r>
          </w:p>
        </w:tc>
        <w:tc>
          <w:tcPr>
            <w:tcW w:w="1170" w:type="dxa"/>
            <w:tcBorders>
              <w:left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645064417</w:t>
            </w:r>
          </w:p>
        </w:tc>
        <w:tc>
          <w:tcPr>
            <w:tcW w:w="878" w:type="dxa"/>
            <w:tcBorders>
              <w:left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116.98</w:t>
            </w:r>
          </w:p>
        </w:tc>
        <w:tc>
          <w:tcPr>
            <w:tcW w:w="2220" w:type="dxa"/>
            <w:tcBorders>
              <w:left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fldChar w:fldCharType="begin"/>
            </w:r>
            <w:r w:rsidRPr="001C3802">
              <w:rPr>
                <w:rFonts w:ascii="Times New Roman" w:eastAsia="Arial" w:hAnsi="Times New Roman" w:cs="Times New Roman"/>
              </w:rPr>
              <w:instrText xml:space="preserve"> ADDIN ZOTERO_ITEM CSL_CITATION {"citationID":"BBRHtpSc","properties":{"formattedCitation":"(Faure et al., 2007)","plainCitation":"(Faure et al., 2007)","noteIndex":0},"citationItems":[{"id":4801,"uris":["http://zotero.org/groups/328762/items/IIZYCDAU"],"uri":["http://zotero.org/groups/328762/items/IIZYCDAU"],"itemData":{"id":4801,"type":"article-journal","title":"The &lt;i&gt;FLOWERING LOCUS T-Like &lt;/i&gt;Gene Family in Barley (&lt;i&gt;Hordeum vulgare&lt;/i&gt;)","container-title":"Genetics","page":"599-609","volume":"176","issue":"1","source":"PubMed Central","abstract":"The FLOWERING LOCUS T (FT) gene plays a central role in integrating flowering signals in Arabidopsis because its expression is regulated antagonistically by the photoperiod and vernalization pathways. FT belongs to a family of six genes characterized by a phosphatidylethanolamine-binding protein (PEBP) domain. In rice (Oryza sativa), 19 PEBP genes were previously described, 13 of which are FT-like genes. Five FT-like genes were found in barley (Hordeum vulgare). HvFT1, HvFT2, HvFT3, and HvFT4 were highly homologous to OsFTL2 (the Hd3a QTL), OsFTL1, OsFTL10, and OsFTL12, respectively, and this relationship was supported by comparative mapping. No rice equivalent was found for HvFT5. HvFT1 was highly expressed under long-day (inductive) conditions at the time of the morphological switch of the shoot apex from vegetative to reproductive growth. HvFT2 and HvFT4 were expressed later in development. HvFT1 was therefore identified as the main barley FT-like gene involved in the switch to flowering. Mapping of HvFT genes suggests that they provide important sources of flowering-time variation in barley. HvFTI was a candidate for VRN-H3, a dominant mutation giving precocious flowering, while HvFT3 was a candidate for Ppd-H2, a major QTL affecting flowering time in short days.","DOI":"10.1534/genetics.106.069500","ISSN":"0016-6731","note":"PMID: 17339225\nPMCID: PMC1893030","journalAbbreviation":"Genetics","author":[{"family":"Faure","given":"Sébastien"},{"family":"Higgins","given":"Janet"},{"family":"Turner","given":"Adrian"},{"family":"Laurie","given":"David A."}],"issued":{"date-parts":[["2007",5]]}}}],"schema":"https://github.com/citation-style-language/schema/raw/master/csl-citation.json"} </w:instrText>
            </w:r>
            <w:r w:rsidRPr="001C3802">
              <w:rPr>
                <w:rFonts w:ascii="Times New Roman" w:eastAsia="Arial" w:hAnsi="Times New Roman" w:cs="Times New Roman"/>
              </w:rPr>
              <w:fldChar w:fldCharType="separate"/>
            </w:r>
            <w:r w:rsidR="003B3687" w:rsidRPr="003B3687">
              <w:rPr>
                <w:rFonts w:ascii="Times New Roman" w:hAnsi="Times New Roman" w:cs="Times New Roman"/>
              </w:rPr>
              <w:t>(Faure et al., 2007)</w:t>
            </w:r>
            <w:r w:rsidRPr="001C3802">
              <w:rPr>
                <w:rFonts w:ascii="Times New Roman" w:eastAsia="Arial" w:hAnsi="Times New Roman" w:cs="Times New Roman"/>
              </w:rPr>
              <w:fldChar w:fldCharType="end"/>
            </w:r>
          </w:p>
        </w:tc>
      </w:tr>
      <w:tr w:rsidR="001C3802" w:rsidRPr="001C3802" w:rsidTr="00221BDF">
        <w:trPr>
          <w:trHeight w:val="260"/>
          <w:jc w:val="center"/>
        </w:trPr>
        <w:tc>
          <w:tcPr>
            <w:tcW w:w="2336" w:type="dxa"/>
            <w:tcBorders>
              <w:left w:val="single" w:sz="4" w:space="0" w:color="auto"/>
              <w:right w:val="single" w:sz="4" w:space="0" w:color="auto"/>
            </w:tcBorders>
            <w:shd w:val="clear" w:color="000000" w:fill="FFFFFF"/>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HORVU5Hr1G060000</w:t>
            </w:r>
          </w:p>
        </w:tc>
        <w:tc>
          <w:tcPr>
            <w:tcW w:w="2681" w:type="dxa"/>
            <w:tcBorders>
              <w:left w:val="single" w:sz="4" w:space="0" w:color="auto"/>
              <w:right w:val="single" w:sz="4" w:space="0" w:color="auto"/>
            </w:tcBorders>
            <w:shd w:val="clear" w:color="000000" w:fill="FFFFFF"/>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i/>
              </w:rPr>
              <w:t>EARLY FLOWERING 4-like</w:t>
            </w:r>
            <w:r w:rsidRPr="001C3802">
              <w:rPr>
                <w:rFonts w:ascii="Times New Roman" w:eastAsia="Arial" w:hAnsi="Times New Roman" w:cs="Times New Roman"/>
              </w:rPr>
              <w:t xml:space="preserve"> (</w:t>
            </w:r>
            <w:r w:rsidRPr="001C3802">
              <w:rPr>
                <w:rFonts w:ascii="Times New Roman" w:eastAsia="Arial" w:hAnsi="Times New Roman" w:cs="Times New Roman"/>
                <w:i/>
              </w:rPr>
              <w:t>ELF4</w:t>
            </w:r>
            <w:r w:rsidRPr="001C3802">
              <w:rPr>
                <w:rFonts w:ascii="Times New Roman" w:eastAsia="Arial" w:hAnsi="Times New Roman" w:cs="Times New Roman"/>
              </w:rPr>
              <w:t>)</w:t>
            </w:r>
          </w:p>
        </w:tc>
        <w:tc>
          <w:tcPr>
            <w:tcW w:w="3132" w:type="dxa"/>
            <w:tcBorders>
              <w:left w:val="single" w:sz="4" w:space="0" w:color="auto"/>
              <w:right w:val="single" w:sz="4" w:space="0" w:color="auto"/>
            </w:tcBorders>
            <w:shd w:val="clear" w:color="000000" w:fill="FFFFFF"/>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Nuclear protein involved in phytochrome B signaling</w:t>
            </w:r>
          </w:p>
        </w:tc>
        <w:tc>
          <w:tcPr>
            <w:tcW w:w="448" w:type="dxa"/>
            <w:tcBorders>
              <w:left w:val="single" w:sz="4" w:space="0" w:color="auto"/>
              <w:right w:val="single" w:sz="4" w:space="0" w:color="auto"/>
            </w:tcBorders>
            <w:shd w:val="clear" w:color="000000" w:fill="FFFFFF"/>
            <w:vAlign w:val="center"/>
            <w:hideMark/>
          </w:tcPr>
          <w:p w:rsidR="001C3802" w:rsidRPr="001C3802" w:rsidRDefault="001C3802" w:rsidP="001C3802">
            <w:pPr>
              <w:spacing w:after="0" w:line="240" w:lineRule="auto"/>
              <w:jc w:val="center"/>
              <w:rPr>
                <w:rFonts w:ascii="Times New Roman" w:eastAsia="Arial" w:hAnsi="Times New Roman" w:cs="Times New Roman"/>
              </w:rPr>
            </w:pPr>
            <w:r w:rsidRPr="001C3802">
              <w:rPr>
                <w:rFonts w:ascii="Times New Roman" w:eastAsia="Arial" w:hAnsi="Times New Roman" w:cs="Times New Roman"/>
              </w:rPr>
              <w:t>5</w:t>
            </w:r>
          </w:p>
        </w:tc>
        <w:tc>
          <w:tcPr>
            <w:tcW w:w="1170" w:type="dxa"/>
            <w:tcBorders>
              <w:left w:val="single" w:sz="4" w:space="0" w:color="auto"/>
              <w:right w:val="single" w:sz="4" w:space="0" w:color="auto"/>
            </w:tcBorders>
            <w:shd w:val="clear" w:color="000000" w:fill="FFFFFF"/>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469024048</w:t>
            </w:r>
          </w:p>
        </w:tc>
        <w:tc>
          <w:tcPr>
            <w:tcW w:w="878" w:type="dxa"/>
            <w:tcBorders>
              <w:left w:val="single" w:sz="4" w:space="0" w:color="auto"/>
              <w:right w:val="single" w:sz="4" w:space="0" w:color="auto"/>
            </w:tcBorders>
            <w:shd w:val="clear" w:color="000000" w:fill="FFFFFF"/>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48.4</w:t>
            </w:r>
          </w:p>
        </w:tc>
        <w:tc>
          <w:tcPr>
            <w:tcW w:w="2220" w:type="dxa"/>
            <w:tcBorders>
              <w:left w:val="single" w:sz="4" w:space="0" w:color="auto"/>
              <w:right w:val="single" w:sz="4" w:space="0" w:color="auto"/>
            </w:tcBorders>
            <w:shd w:val="clear" w:color="000000" w:fill="FFFFFF"/>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fldChar w:fldCharType="begin"/>
            </w:r>
            <w:r w:rsidRPr="001C3802">
              <w:rPr>
                <w:rFonts w:ascii="Times New Roman" w:eastAsia="Arial" w:hAnsi="Times New Roman" w:cs="Times New Roman"/>
              </w:rPr>
              <w:instrText xml:space="preserve"> ADDIN ZOTERO_ITEM CSL_CITATION {"citationID":"wGg3ArVQ","properties":{"formattedCitation":"(Russell et al., 2016)","plainCitation":"(Russell et al., 2016)","noteIndex":0},"citationItems":[{"id":5575,"uris":["http://zotero.org/groups/328762/items/3K2QQ53B"],"uri":["http://zotero.org/groups/328762/items/3K2QQ53B"],"itemData":{"id":5575,"type":"article-journal","title":"Exome sequencing of geographically diverse barley landraces and wild relatives gives insights into environmental adaptation","container-title":"Nature Genetics","page":"1024-1030","volume":"48","issue":"9","source":"www.nature.com.ezp3.lib.umn.edu","abstract":"After domestication, during a process of widespread range extension, barley adapted to a broad spectrum of agricultural environments. To explore how the barley genome responded to the environmental challenges it encountered, we sequenced the exomes of a collection of 267 georeferenced landraces and wild accessions. A combination of genome-wide analyses showed that patterns of variation have been strongly shaped by geography and that variant-by-environment associations for individual genes are prominent in our data set. We observed significant correlations of days to heading (flowering) and height with seasonal temperature and dryness variables in common garden experiments, suggesting that these traits were major drivers of environmental adaptation in the sampled germplasm. A detailed analysis of known flowering-associated genes showed that many contain extensive sequence variation and that patterns of single- and multiple-gene haplotypes exhibit strong geographical structuring. This variation appears to have substantially contributed to range-wide ecogeographical adaptation, but many factors key to regional success remain unidentified.","DOI":"10.1038/ng.3612","ISSN":"1546-1718","language":"en","author":[{"family":"Russell","given":"Joanne"},{"family":"Mascher","given":"Martin"},{"family":"Dawson","given":"Ian K."},{"family":"Kyriakidis","given":"Stylianos"},{"family":"Calixto","given":"Cristiane"},{"family":"Freund","given":"Fabian"},{"family":"Bayer","given":"Micha"},{"family":"Milne","given":"Iain"},{"family":"Marshall-Griffiths","given":"Tony"},{"family":"Heinen","given":"Shane"},{"family":"Hofstad","given":"Anna"},{"family":"Sharma","given":"Rajiv"},{"family":"Himmelbach","given":"Axel"},{"family":"Knauft","given":"Manuela"},{"family":"Zonneveld","given":"Maarten","dropping-particle":"van"},{"family":"Brown","given":"John W. S."},{"family":"Schmid","given":"Karl"},{"family":"Kilian","given":"Benjamin"},{"family":"Muehlbauer","given":"Gary J."},{"family":"Stein","given":"Nils"},{"family":"Waugh","given":"Robbie"}],"issued":{"date-parts":[["2016",9]]}}}],"schema":"https://github.com/citation-style-language/schema/raw/master/csl-citation.json"} </w:instrText>
            </w:r>
            <w:r w:rsidRPr="001C3802">
              <w:rPr>
                <w:rFonts w:ascii="Times New Roman" w:eastAsia="Arial" w:hAnsi="Times New Roman" w:cs="Times New Roman"/>
              </w:rPr>
              <w:fldChar w:fldCharType="separate"/>
            </w:r>
            <w:r w:rsidR="003B3687" w:rsidRPr="003B3687">
              <w:rPr>
                <w:rFonts w:ascii="Times New Roman" w:hAnsi="Times New Roman" w:cs="Times New Roman"/>
              </w:rPr>
              <w:t>(Russell et al., 2016)</w:t>
            </w:r>
            <w:r w:rsidRPr="001C3802">
              <w:rPr>
                <w:rFonts w:ascii="Times New Roman" w:eastAsia="Arial" w:hAnsi="Times New Roman" w:cs="Times New Roman"/>
              </w:rPr>
              <w:fldChar w:fldCharType="end"/>
            </w:r>
          </w:p>
        </w:tc>
      </w:tr>
      <w:tr w:rsidR="001C3802" w:rsidRPr="001C3802" w:rsidTr="00221BDF">
        <w:trPr>
          <w:trHeight w:val="520"/>
          <w:jc w:val="center"/>
        </w:trPr>
        <w:tc>
          <w:tcPr>
            <w:tcW w:w="2336" w:type="dxa"/>
            <w:tcBorders>
              <w:left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HORVU5Hr1G081620</w:t>
            </w:r>
          </w:p>
        </w:tc>
        <w:tc>
          <w:tcPr>
            <w:tcW w:w="2681" w:type="dxa"/>
            <w:tcBorders>
              <w:left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PSUEDO RESPONSE REGULATOR 95-like (PRR95)</w:t>
            </w:r>
          </w:p>
        </w:tc>
        <w:tc>
          <w:tcPr>
            <w:tcW w:w="3132" w:type="dxa"/>
            <w:tcBorders>
              <w:left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Two-component pseudo response regulator</w:t>
            </w:r>
          </w:p>
        </w:tc>
        <w:tc>
          <w:tcPr>
            <w:tcW w:w="448" w:type="dxa"/>
            <w:tcBorders>
              <w:left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jc w:val="center"/>
              <w:rPr>
                <w:rFonts w:ascii="Times New Roman" w:eastAsia="Arial" w:hAnsi="Times New Roman" w:cs="Times New Roman"/>
              </w:rPr>
            </w:pPr>
            <w:r w:rsidRPr="001C3802">
              <w:rPr>
                <w:rFonts w:ascii="Times New Roman" w:eastAsia="Arial" w:hAnsi="Times New Roman" w:cs="Times New Roman"/>
              </w:rPr>
              <w:t>5</w:t>
            </w:r>
          </w:p>
        </w:tc>
        <w:tc>
          <w:tcPr>
            <w:tcW w:w="1170" w:type="dxa"/>
            <w:tcBorders>
              <w:left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565156282</w:t>
            </w:r>
          </w:p>
        </w:tc>
        <w:tc>
          <w:tcPr>
            <w:tcW w:w="878" w:type="dxa"/>
            <w:tcBorders>
              <w:left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97.1</w:t>
            </w:r>
          </w:p>
        </w:tc>
        <w:tc>
          <w:tcPr>
            <w:tcW w:w="2220" w:type="dxa"/>
            <w:tcBorders>
              <w:left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fldChar w:fldCharType="begin"/>
            </w:r>
            <w:r w:rsidRPr="001C3802">
              <w:rPr>
                <w:rFonts w:ascii="Times New Roman" w:eastAsia="Arial" w:hAnsi="Times New Roman" w:cs="Times New Roman"/>
              </w:rPr>
              <w:instrText xml:space="preserve"> ADDIN ZOTERO_ITEM CSL_CITATION {"citationID":"KcEVBEu9","properties":{"formattedCitation":"(Calixto et al., 2015)","plainCitation":"(Calixto et al., 2015)","noteIndex":0},"citationItems":[{"id":5811,"uris":["http://zotero.org/groups/328762/items/M6XVRAW5"],"uri":["http://zotero.org/groups/328762/items/M6XVRAW5"],"itemData":{"id":5811,"type":"article-journal","title":"Evolutionary Relationships Among Barley and Arabidopsis Core Circadian Clock and Clock-Associated Genes","container-title":"Journal of Molecular Evolution","page":"108-119","volume":"80","source":"PubMed Central","abstract":"The circadian clock regulates a multitude of plant developmental and metabolic processes. In crop species, it contributes significantly to plant performance and productivity and to the adaptation and geographical range over which crops can be grown. To understand the clock in barley and how it relates to the components in the Arabidopsis thaliana clock, we have performed a systematic analysis of core circadian clock and clock-associated genes in barley, Arabidopsis and another eight species including tomato, potato, a range of monocotyledonous species and the moss, Physcomitrella patens. We have identified orthologues and paralogues of Arabidopsis genes which are conserved in all species, monocot/dicot differences, species-specific differences and variation in gene copy number (e.g. gene duplications among the various species). We propose that the common ancestor of barley and Arabidopsis had two-thirds of the key clock components identified in Arabidopsis prior to the separation of the monocot/dicot groups. After this separation, multiple independent gene duplication events took place in both monocot and dicot ancestors.","DOI":"10.1007/s00239-015-9665-0","ISSN":"0022-2844","note":"PMID: 25608480\nPMCID: PMC4320304","journalAbbreviation":"J Mol Evol","author":[{"family":"Calixto","given":"Cristiane P. G."},{"family":"Waugh","given":"Robbie"},{"family":"Brown","given":"John W. S."}],"issued":{"date-parts":[["2015"]]}}}],"schema":"https://github.com/citation-style-language/schema/raw/master/csl-citation.json"} </w:instrText>
            </w:r>
            <w:r w:rsidRPr="001C3802">
              <w:rPr>
                <w:rFonts w:ascii="Times New Roman" w:eastAsia="Arial" w:hAnsi="Times New Roman" w:cs="Times New Roman"/>
              </w:rPr>
              <w:fldChar w:fldCharType="separate"/>
            </w:r>
            <w:r w:rsidR="003B3687" w:rsidRPr="003B3687">
              <w:rPr>
                <w:rFonts w:ascii="Times New Roman" w:hAnsi="Times New Roman" w:cs="Times New Roman"/>
              </w:rPr>
              <w:t>(Calixto et al., 2015)</w:t>
            </w:r>
            <w:r w:rsidRPr="001C3802">
              <w:rPr>
                <w:rFonts w:ascii="Times New Roman" w:eastAsia="Arial" w:hAnsi="Times New Roman" w:cs="Times New Roman"/>
              </w:rPr>
              <w:fldChar w:fldCharType="end"/>
            </w:r>
          </w:p>
        </w:tc>
      </w:tr>
      <w:tr w:rsidR="001C3802" w:rsidRPr="001C3802" w:rsidTr="00221BDF">
        <w:trPr>
          <w:trHeight w:val="780"/>
          <w:jc w:val="center"/>
        </w:trPr>
        <w:tc>
          <w:tcPr>
            <w:tcW w:w="2336" w:type="dxa"/>
            <w:tcBorders>
              <w:left w:val="single" w:sz="4" w:space="0" w:color="auto"/>
              <w:right w:val="single" w:sz="4" w:space="0" w:color="auto"/>
            </w:tcBorders>
            <w:shd w:val="clear" w:color="000000" w:fill="FFFFFF"/>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HORVU5Hr1G095630</w:t>
            </w:r>
          </w:p>
        </w:tc>
        <w:tc>
          <w:tcPr>
            <w:tcW w:w="2681" w:type="dxa"/>
            <w:tcBorders>
              <w:left w:val="single" w:sz="4" w:space="0" w:color="auto"/>
              <w:right w:val="single" w:sz="4" w:space="0" w:color="auto"/>
            </w:tcBorders>
            <w:shd w:val="clear" w:color="000000" w:fill="FFFFFF"/>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i/>
              </w:rPr>
              <w:t>VERNALIZATION-H1</w:t>
            </w:r>
            <w:r w:rsidRPr="001C3802">
              <w:rPr>
                <w:rFonts w:ascii="Times New Roman" w:eastAsia="Arial" w:hAnsi="Times New Roman" w:cs="Times New Roman"/>
              </w:rPr>
              <w:t xml:space="preserve"> (</w:t>
            </w:r>
            <w:r w:rsidRPr="001C3802">
              <w:rPr>
                <w:rFonts w:ascii="Times New Roman" w:eastAsia="Arial" w:hAnsi="Times New Roman" w:cs="Times New Roman"/>
                <w:i/>
              </w:rPr>
              <w:t>VRN-H1</w:t>
            </w:r>
            <w:r w:rsidRPr="001C3802">
              <w:rPr>
                <w:rFonts w:ascii="Times New Roman" w:eastAsia="Arial" w:hAnsi="Times New Roman" w:cs="Times New Roman"/>
              </w:rPr>
              <w:t>)</w:t>
            </w:r>
          </w:p>
        </w:tc>
        <w:tc>
          <w:tcPr>
            <w:tcW w:w="3132" w:type="dxa"/>
            <w:tcBorders>
              <w:left w:val="single" w:sz="4" w:space="0" w:color="auto"/>
              <w:right w:val="single" w:sz="4" w:space="0" w:color="auto"/>
            </w:tcBorders>
            <w:shd w:val="clear" w:color="000000" w:fill="FFFFFF"/>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MADS box transcription factor</w:t>
            </w:r>
          </w:p>
        </w:tc>
        <w:tc>
          <w:tcPr>
            <w:tcW w:w="448" w:type="dxa"/>
            <w:tcBorders>
              <w:left w:val="single" w:sz="4" w:space="0" w:color="auto"/>
              <w:right w:val="single" w:sz="4" w:space="0" w:color="auto"/>
            </w:tcBorders>
            <w:shd w:val="clear" w:color="000000" w:fill="FFFFFF"/>
            <w:vAlign w:val="center"/>
            <w:hideMark/>
          </w:tcPr>
          <w:p w:rsidR="001C3802" w:rsidRPr="001C3802" w:rsidRDefault="001C3802" w:rsidP="001C3802">
            <w:pPr>
              <w:spacing w:after="0" w:line="240" w:lineRule="auto"/>
              <w:jc w:val="center"/>
              <w:rPr>
                <w:rFonts w:ascii="Times New Roman" w:eastAsia="Arial" w:hAnsi="Times New Roman" w:cs="Times New Roman"/>
              </w:rPr>
            </w:pPr>
            <w:r w:rsidRPr="001C3802">
              <w:rPr>
                <w:rFonts w:ascii="Times New Roman" w:eastAsia="Arial" w:hAnsi="Times New Roman" w:cs="Times New Roman"/>
              </w:rPr>
              <w:t>5</w:t>
            </w:r>
          </w:p>
        </w:tc>
        <w:tc>
          <w:tcPr>
            <w:tcW w:w="1170" w:type="dxa"/>
            <w:tcBorders>
              <w:left w:val="single" w:sz="4" w:space="0" w:color="auto"/>
              <w:right w:val="single" w:sz="4" w:space="0" w:color="auto"/>
            </w:tcBorders>
            <w:shd w:val="clear" w:color="000000" w:fill="FFFFFF"/>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599122941</w:t>
            </w:r>
          </w:p>
        </w:tc>
        <w:tc>
          <w:tcPr>
            <w:tcW w:w="878" w:type="dxa"/>
            <w:tcBorders>
              <w:left w:val="single" w:sz="4" w:space="0" w:color="auto"/>
              <w:right w:val="single" w:sz="4" w:space="0" w:color="auto"/>
            </w:tcBorders>
            <w:shd w:val="clear" w:color="000000" w:fill="FFFFFF"/>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126.01</w:t>
            </w:r>
          </w:p>
        </w:tc>
        <w:tc>
          <w:tcPr>
            <w:tcW w:w="2220" w:type="dxa"/>
            <w:tcBorders>
              <w:left w:val="single" w:sz="4" w:space="0" w:color="auto"/>
              <w:right w:val="single" w:sz="4" w:space="0" w:color="auto"/>
            </w:tcBorders>
            <w:shd w:val="clear" w:color="000000" w:fill="FFFFFF"/>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fldChar w:fldCharType="begin"/>
            </w:r>
            <w:r w:rsidRPr="001C3802">
              <w:rPr>
                <w:rFonts w:ascii="Times New Roman" w:eastAsia="Arial" w:hAnsi="Times New Roman" w:cs="Times New Roman"/>
              </w:rPr>
              <w:instrText xml:space="preserve"> ADDIN ZOTERO_ITEM CSL_CITATION {"citationID":"kjWaVyM5","properties":{"formattedCitation":"(Fu et al., 2005)","plainCitation":"(Fu et al., 2005)","noteIndex":0},"citationItems":[{"id":4778,"uris":["http://zotero.org/groups/328762/items/2HHDRKIW"],"uri":["http://zotero.org/groups/328762/items/2HHDRKIW"],"itemData":{"id":4778,"type":"article-journal","title":"Large deletions within the first intron in &lt;i&gt;VRN-1&lt;/i&gt; are associated with spring growth habit in barley and wheat","container-title":"Molecular Genetics and Genomics","page":"54-65","volume":"273","issue":"1","source":"link-springer-com.ezp1.lib.umn.edu","abstract":"The broad adaptability of wheat and barley is in part attributable to their flexible growth habit, in that spring forms have recurrently evolved from the ancestral winter growth habit. In diploid wheat and barley growth habit is determined by allelic variation at the VRN-1 and/or VRN-2 loci, whereas in the polyploid wheat species it is determined primarily by allelic variation at VRN-1. Dominant Vrn-A1 alleles for spring growth habit are frequently associated with mutations in the promoter region in diploid wheat and in the A genome of common wheat. However, several dominant Vrn-A1, Vrn-B1, Vrn-D1 (common wheat) and Vrn-H1 (barley) alleles show no polymorphisms in the promoter region relative to their respective recessive alleles. In this study, we sequenced the complete VRN-1 gene from these accessions and found that all of them have large deletions within the first intron, which overlap in a 4-kb region. Furthermore, a 2.8-kb segment within the 4-kb region showed high sequence conservation among the different recessive alleles. PCR markers for these deletions showed that similar deletions were present in all the accessions with known Vrn-B1 and Vrn-D1 alleles, and in 51 hexaploid spring wheat accessions previously shown to have no polymorphisms in the VRN-A1 promoter region. Twenty-four tetraploid wheat accessions had a similar deletion in VRN-A1 intron 1. We hypothesize that the 2.8-kb conserved region includes regulatory elements important for the vernalization requirement. Epistatic interactions between VRN-H2 and the VRN-H1 allele with the intron 1 deletion suggest that the deleted region may include a recognition site for the flowering repression mediated by the product of the VRN-H2 gene of barley.","DOI":"10.1007/s00438-004-1095-4","ISSN":"1617-4615, 1617-4623","journalAbbreviation":"Mol Genet Genomics","language":"en","author":[{"family":"Fu","given":"Daolin"},{"family":"Szűcs","given":"Péter"},{"family":"Yan","given":"Liuling"},{"family":"Helguera","given":"Marcelo"},{"family":"Skinner","given":"Jeffrey S."},{"family":"Zitzewitz","given":"Jarislav","dropping-particle":"von"},{"family":"Hayes","given":"Patrick M."},{"family":"Dubcovsky","given":"Jorge"}],"issued":{"date-parts":[["2005",3,1]]}}}],"schema":"https://github.com/citation-style-language/schema/raw/master/csl-citation.json"} </w:instrText>
            </w:r>
            <w:r w:rsidRPr="001C3802">
              <w:rPr>
                <w:rFonts w:ascii="Times New Roman" w:eastAsia="Arial" w:hAnsi="Times New Roman" w:cs="Times New Roman"/>
              </w:rPr>
              <w:fldChar w:fldCharType="separate"/>
            </w:r>
            <w:r w:rsidR="003B3687" w:rsidRPr="003B3687">
              <w:rPr>
                <w:rFonts w:ascii="Times New Roman" w:hAnsi="Times New Roman" w:cs="Times New Roman"/>
              </w:rPr>
              <w:t>(Fu et al., 2005)</w:t>
            </w:r>
            <w:r w:rsidRPr="001C3802">
              <w:rPr>
                <w:rFonts w:ascii="Times New Roman" w:eastAsia="Arial" w:hAnsi="Times New Roman" w:cs="Times New Roman"/>
              </w:rPr>
              <w:fldChar w:fldCharType="end"/>
            </w:r>
          </w:p>
        </w:tc>
      </w:tr>
      <w:tr w:rsidR="001C3802" w:rsidRPr="001C3802" w:rsidTr="00221BDF">
        <w:trPr>
          <w:trHeight w:val="260"/>
          <w:jc w:val="center"/>
        </w:trPr>
        <w:tc>
          <w:tcPr>
            <w:tcW w:w="2336" w:type="dxa"/>
            <w:tcBorders>
              <w:left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HORVU6Hr1G022330</w:t>
            </w:r>
          </w:p>
        </w:tc>
        <w:tc>
          <w:tcPr>
            <w:tcW w:w="2681" w:type="dxa"/>
            <w:tcBorders>
              <w:left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i/>
              </w:rPr>
              <w:t>ZEITLUPEb</w:t>
            </w:r>
            <w:r w:rsidRPr="001C3802">
              <w:rPr>
                <w:rFonts w:ascii="Times New Roman" w:eastAsia="Arial" w:hAnsi="Times New Roman" w:cs="Times New Roman"/>
              </w:rPr>
              <w:t xml:space="preserve"> (</w:t>
            </w:r>
            <w:r w:rsidRPr="001C3802">
              <w:rPr>
                <w:rFonts w:ascii="Times New Roman" w:eastAsia="Arial" w:hAnsi="Times New Roman" w:cs="Times New Roman"/>
                <w:i/>
              </w:rPr>
              <w:t>ZTLb</w:t>
            </w:r>
            <w:r w:rsidRPr="001C3802">
              <w:rPr>
                <w:rFonts w:ascii="Times New Roman" w:eastAsia="Arial" w:hAnsi="Times New Roman" w:cs="Times New Roman"/>
              </w:rPr>
              <w:t>)</w:t>
            </w:r>
          </w:p>
        </w:tc>
        <w:tc>
          <w:tcPr>
            <w:tcW w:w="3132" w:type="dxa"/>
            <w:tcBorders>
              <w:left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F-box protein, part of SCF complex that degrades TOC1</w:t>
            </w:r>
          </w:p>
        </w:tc>
        <w:tc>
          <w:tcPr>
            <w:tcW w:w="448" w:type="dxa"/>
            <w:tcBorders>
              <w:left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jc w:val="center"/>
              <w:rPr>
                <w:rFonts w:ascii="Times New Roman" w:eastAsia="Arial" w:hAnsi="Times New Roman" w:cs="Times New Roman"/>
              </w:rPr>
            </w:pPr>
            <w:r w:rsidRPr="001C3802">
              <w:rPr>
                <w:rFonts w:ascii="Times New Roman" w:eastAsia="Arial" w:hAnsi="Times New Roman" w:cs="Times New Roman"/>
              </w:rPr>
              <w:t>6</w:t>
            </w:r>
          </w:p>
        </w:tc>
        <w:tc>
          <w:tcPr>
            <w:tcW w:w="1170" w:type="dxa"/>
            <w:tcBorders>
              <w:left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70576253</w:t>
            </w:r>
          </w:p>
        </w:tc>
        <w:tc>
          <w:tcPr>
            <w:tcW w:w="878" w:type="dxa"/>
            <w:tcBorders>
              <w:left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49.32</w:t>
            </w:r>
          </w:p>
        </w:tc>
        <w:tc>
          <w:tcPr>
            <w:tcW w:w="2220" w:type="dxa"/>
            <w:tcBorders>
              <w:left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fldChar w:fldCharType="begin"/>
            </w:r>
            <w:r w:rsidRPr="001C3802">
              <w:rPr>
                <w:rFonts w:ascii="Times New Roman" w:eastAsia="Arial" w:hAnsi="Times New Roman" w:cs="Times New Roman"/>
              </w:rPr>
              <w:instrText xml:space="preserve"> ADDIN ZOTERO_ITEM CSL_CITATION {"citationID":"29OC5Y4V","properties":{"formattedCitation":"(Calixto et al., 2015)","plainCitation":"(Calixto et al., 2015)","noteIndex":0},"citationItems":[{"id":5811,"uris":["http://zotero.org/groups/328762/items/M6XVRAW5"],"uri":["http://zotero.org/groups/328762/items/M6XVRAW5"],"itemData":{"id":5811,"type":"article-journal","title":"Evolutionary Relationships Among Barley and Arabidopsis Core Circadian Clock and Clock-Associated Genes","container-title":"Journal of Molecular Evolution","page":"108-119","volume":"80","source":"PubMed Central","abstract":"The circadian clock regulates a multitude of plant developmental and metabolic processes. In crop species, it contributes significantly to plant performance and productivity and to the adaptation and geographical range over which crops can be grown. To understand the clock in barley and how it relates to the components in the Arabidopsis thaliana clock, we have performed a systematic analysis of core circadian clock and clock-associated genes in barley, Arabidopsis and another eight species including tomato, potato, a range of monocotyledonous species and the moss, Physcomitrella patens. We have identified orthologues and paralogues of Arabidopsis genes which are conserved in all species, monocot/dicot differences, species-specific differences and variation in gene copy number (e.g. gene duplications among the various species). We propose that the common ancestor of barley and Arabidopsis had two-thirds of the key clock components identified in Arabidopsis prior to the separation of the monocot/dicot groups. After this separation, multiple independent gene duplication events took place in both monocot and dicot ancestors.","DOI":"10.1007/s00239-015-9665-0","ISSN":"0022-2844","note":"PMID: 25608480\nPMCID: PMC4320304","journalAbbreviation":"J Mol Evol","author":[{"family":"Calixto","given":"Cristiane P. G."},{"family":"Waugh","given":"Robbie"},{"family":"Brown","given":"John W. S."}],"issued":{"date-parts":[["2015"]]}}}],"schema":"https://github.com/citation-style-language/schema/raw/master/csl-citation.json"} </w:instrText>
            </w:r>
            <w:r w:rsidRPr="001C3802">
              <w:rPr>
                <w:rFonts w:ascii="Times New Roman" w:eastAsia="Arial" w:hAnsi="Times New Roman" w:cs="Times New Roman"/>
              </w:rPr>
              <w:fldChar w:fldCharType="separate"/>
            </w:r>
            <w:r w:rsidR="003B3687" w:rsidRPr="003B3687">
              <w:rPr>
                <w:rFonts w:ascii="Times New Roman" w:hAnsi="Times New Roman" w:cs="Times New Roman"/>
              </w:rPr>
              <w:t>(Calixto et al., 2015)</w:t>
            </w:r>
            <w:r w:rsidRPr="001C3802">
              <w:rPr>
                <w:rFonts w:ascii="Times New Roman" w:eastAsia="Arial" w:hAnsi="Times New Roman" w:cs="Times New Roman"/>
              </w:rPr>
              <w:fldChar w:fldCharType="end"/>
            </w:r>
          </w:p>
        </w:tc>
      </w:tr>
      <w:tr w:rsidR="001C3802" w:rsidRPr="001C3802" w:rsidTr="00221BDF">
        <w:trPr>
          <w:trHeight w:val="1040"/>
          <w:jc w:val="center"/>
        </w:trPr>
        <w:tc>
          <w:tcPr>
            <w:tcW w:w="2336" w:type="dxa"/>
            <w:tcBorders>
              <w:left w:val="single" w:sz="4" w:space="0" w:color="auto"/>
              <w:right w:val="single" w:sz="4" w:space="0" w:color="auto"/>
            </w:tcBorders>
            <w:shd w:val="clear" w:color="000000" w:fill="FFFFFF"/>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lastRenderedPageBreak/>
              <w:t>HORVU6Hr1G057630</w:t>
            </w:r>
          </w:p>
        </w:tc>
        <w:tc>
          <w:tcPr>
            <w:tcW w:w="2681" w:type="dxa"/>
            <w:tcBorders>
              <w:left w:val="single" w:sz="4" w:space="0" w:color="auto"/>
              <w:right w:val="single" w:sz="4" w:space="0" w:color="auto"/>
            </w:tcBorders>
            <w:shd w:val="clear" w:color="000000" w:fill="FFFFFF"/>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i/>
              </w:rPr>
              <w:t xml:space="preserve">TIMING OF CHLOROPHYLL A/B BINDING PROTEIN 1 </w:t>
            </w:r>
            <w:r w:rsidRPr="001C3802">
              <w:rPr>
                <w:rFonts w:ascii="Times New Roman" w:eastAsia="Arial" w:hAnsi="Times New Roman" w:cs="Times New Roman"/>
              </w:rPr>
              <w:t>(</w:t>
            </w:r>
            <w:r w:rsidRPr="001C3802">
              <w:rPr>
                <w:rFonts w:ascii="Times New Roman" w:eastAsia="Arial" w:hAnsi="Times New Roman" w:cs="Times New Roman"/>
                <w:i/>
              </w:rPr>
              <w:t>TOC1</w:t>
            </w:r>
            <w:r w:rsidRPr="001C3802">
              <w:rPr>
                <w:rFonts w:ascii="Times New Roman" w:eastAsia="Arial" w:hAnsi="Times New Roman" w:cs="Times New Roman"/>
              </w:rPr>
              <w:t>)</w:t>
            </w:r>
          </w:p>
        </w:tc>
        <w:tc>
          <w:tcPr>
            <w:tcW w:w="3132" w:type="dxa"/>
            <w:tcBorders>
              <w:left w:val="single" w:sz="4" w:space="0" w:color="auto"/>
              <w:right w:val="single" w:sz="4" w:space="0" w:color="auto"/>
            </w:tcBorders>
            <w:shd w:val="clear" w:color="000000" w:fill="FFFFFF"/>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Two-component pseudo response regulator</w:t>
            </w:r>
          </w:p>
        </w:tc>
        <w:tc>
          <w:tcPr>
            <w:tcW w:w="448" w:type="dxa"/>
            <w:tcBorders>
              <w:left w:val="single" w:sz="4" w:space="0" w:color="auto"/>
              <w:right w:val="single" w:sz="4" w:space="0" w:color="auto"/>
            </w:tcBorders>
            <w:shd w:val="clear" w:color="000000" w:fill="FFFFFF"/>
            <w:vAlign w:val="center"/>
            <w:hideMark/>
          </w:tcPr>
          <w:p w:rsidR="001C3802" w:rsidRPr="001C3802" w:rsidRDefault="001C3802" w:rsidP="001C3802">
            <w:pPr>
              <w:spacing w:after="0" w:line="240" w:lineRule="auto"/>
              <w:jc w:val="center"/>
              <w:rPr>
                <w:rFonts w:ascii="Times New Roman" w:eastAsia="Arial" w:hAnsi="Times New Roman" w:cs="Times New Roman"/>
              </w:rPr>
            </w:pPr>
            <w:r w:rsidRPr="001C3802">
              <w:rPr>
                <w:rFonts w:ascii="Times New Roman" w:eastAsia="Arial" w:hAnsi="Times New Roman" w:cs="Times New Roman"/>
              </w:rPr>
              <w:t>6</w:t>
            </w:r>
          </w:p>
        </w:tc>
        <w:tc>
          <w:tcPr>
            <w:tcW w:w="1170" w:type="dxa"/>
            <w:tcBorders>
              <w:left w:val="single" w:sz="4" w:space="0" w:color="auto"/>
              <w:right w:val="single" w:sz="4" w:space="0" w:color="auto"/>
            </w:tcBorders>
            <w:shd w:val="clear" w:color="000000" w:fill="FFFFFF"/>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374866560</w:t>
            </w:r>
          </w:p>
        </w:tc>
        <w:tc>
          <w:tcPr>
            <w:tcW w:w="878" w:type="dxa"/>
            <w:tcBorders>
              <w:left w:val="single" w:sz="4" w:space="0" w:color="auto"/>
              <w:right w:val="single" w:sz="4" w:space="0" w:color="auto"/>
            </w:tcBorders>
            <w:shd w:val="clear" w:color="000000" w:fill="FFFFFF"/>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55.4</w:t>
            </w:r>
          </w:p>
        </w:tc>
        <w:tc>
          <w:tcPr>
            <w:tcW w:w="2220" w:type="dxa"/>
            <w:tcBorders>
              <w:left w:val="single" w:sz="4" w:space="0" w:color="auto"/>
              <w:right w:val="single" w:sz="4" w:space="0" w:color="auto"/>
            </w:tcBorders>
            <w:shd w:val="clear" w:color="000000" w:fill="FFFFFF"/>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fldChar w:fldCharType="begin"/>
            </w:r>
            <w:r w:rsidRPr="001C3802">
              <w:rPr>
                <w:rFonts w:ascii="Times New Roman" w:eastAsia="Arial" w:hAnsi="Times New Roman" w:cs="Times New Roman"/>
              </w:rPr>
              <w:instrText xml:space="preserve"> ADDIN ZOTERO_ITEM CSL_CITATION {"citationID":"hWQfqx5k","properties":{"formattedCitation":"(Calixto et al., 2015)","plainCitation":"(Calixto et al., 2015)","noteIndex":0},"citationItems":[{"id":5811,"uris":["http://zotero.org/groups/328762/items/M6XVRAW5"],"uri":["http://zotero.org/groups/328762/items/M6XVRAW5"],"itemData":{"id":5811,"type":"article-journal","title":"Evolutionary Relationships Among Barley and Arabidopsis Core Circadian Clock and Clock-Associated Genes","container-title":"Journal of Molecular Evolution","page":"108-119","volume":"80","source":"PubMed Central","abstract":"The circadian clock regulates a multitude of plant developmental and metabolic processes. In crop species, it contributes significantly to plant performance and productivity and to the adaptation and geographical range over which crops can be grown. To understand the clock in barley and how it relates to the components in the Arabidopsis thaliana clock, we have performed a systematic analysis of core circadian clock and clock-associated genes in barley, Arabidopsis and another eight species including tomato, potato, a range of monocotyledonous species and the moss, Physcomitrella patens. We have identified orthologues and paralogues of Arabidopsis genes which are conserved in all species, monocot/dicot differences, species-specific differences and variation in gene copy number (e.g. gene duplications among the various species). We propose that the common ancestor of barley and Arabidopsis had two-thirds of the key clock components identified in Arabidopsis prior to the separation of the monocot/dicot groups. After this separation, multiple independent gene duplication events took place in both monocot and dicot ancestors.","DOI":"10.1007/s00239-015-9665-0","ISSN":"0022-2844","note":"PMID: 25608480\nPMCID: PMC4320304","journalAbbreviation":"J Mol Evol","author":[{"family":"Calixto","given":"Cristiane P. G."},{"family":"Waugh","given":"Robbie"},{"family":"Brown","given":"John W. S."}],"issued":{"date-parts":[["2015"]]}}}],"schema":"https://github.com/citation-style-language/schema/raw/master/csl-citation.json"} </w:instrText>
            </w:r>
            <w:r w:rsidRPr="001C3802">
              <w:rPr>
                <w:rFonts w:ascii="Times New Roman" w:eastAsia="Arial" w:hAnsi="Times New Roman" w:cs="Times New Roman"/>
              </w:rPr>
              <w:fldChar w:fldCharType="separate"/>
            </w:r>
            <w:r w:rsidR="003B3687" w:rsidRPr="003B3687">
              <w:rPr>
                <w:rFonts w:ascii="Times New Roman" w:hAnsi="Times New Roman" w:cs="Times New Roman"/>
              </w:rPr>
              <w:t>(Calixto et al., 2015)</w:t>
            </w:r>
            <w:r w:rsidRPr="001C3802">
              <w:rPr>
                <w:rFonts w:ascii="Times New Roman" w:eastAsia="Arial" w:hAnsi="Times New Roman" w:cs="Times New Roman"/>
              </w:rPr>
              <w:fldChar w:fldCharType="end"/>
            </w:r>
          </w:p>
        </w:tc>
      </w:tr>
      <w:tr w:rsidR="001C3802" w:rsidRPr="001C3802" w:rsidTr="00221BDF">
        <w:trPr>
          <w:trHeight w:val="310"/>
          <w:jc w:val="center"/>
        </w:trPr>
        <w:tc>
          <w:tcPr>
            <w:tcW w:w="2336" w:type="dxa"/>
            <w:tcBorders>
              <w:left w:val="single" w:sz="4" w:space="0" w:color="auto"/>
              <w:right w:val="single" w:sz="4" w:space="0" w:color="auto"/>
            </w:tcBorders>
            <w:shd w:val="clear" w:color="000000" w:fill="E8E8E8"/>
            <w:noWrap/>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MLOC_75496</w:t>
            </w:r>
            <w:r w:rsidRPr="001C3802">
              <w:rPr>
                <w:rFonts w:ascii="Times New Roman" w:eastAsia="Arial" w:hAnsi="Times New Roman" w:cs="Times New Roman"/>
                <w:vertAlign w:val="superscript"/>
              </w:rPr>
              <w:t>†</w:t>
            </w:r>
          </w:p>
        </w:tc>
        <w:tc>
          <w:tcPr>
            <w:tcW w:w="2681" w:type="dxa"/>
            <w:tcBorders>
              <w:left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i/>
              </w:rPr>
              <w:t>CONSTANS 2</w:t>
            </w:r>
            <w:r w:rsidRPr="001C3802">
              <w:rPr>
                <w:rFonts w:ascii="Times New Roman" w:eastAsia="Arial" w:hAnsi="Times New Roman" w:cs="Times New Roman"/>
              </w:rPr>
              <w:t>-like (</w:t>
            </w:r>
            <w:r w:rsidRPr="001C3802">
              <w:rPr>
                <w:rFonts w:ascii="Times New Roman" w:eastAsia="Arial" w:hAnsi="Times New Roman" w:cs="Times New Roman"/>
                <w:i/>
              </w:rPr>
              <w:t>CO2</w:t>
            </w:r>
            <w:r w:rsidRPr="001C3802">
              <w:rPr>
                <w:rFonts w:ascii="Times New Roman" w:eastAsia="Arial" w:hAnsi="Times New Roman" w:cs="Times New Roman"/>
              </w:rPr>
              <w:t>)</w:t>
            </w:r>
          </w:p>
        </w:tc>
        <w:tc>
          <w:tcPr>
            <w:tcW w:w="3132" w:type="dxa"/>
            <w:tcBorders>
              <w:left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Transcription factor with a CCT domain</w:t>
            </w:r>
          </w:p>
        </w:tc>
        <w:tc>
          <w:tcPr>
            <w:tcW w:w="448" w:type="dxa"/>
            <w:tcBorders>
              <w:left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jc w:val="center"/>
              <w:rPr>
                <w:rFonts w:ascii="Times New Roman" w:eastAsia="Arial" w:hAnsi="Times New Roman" w:cs="Times New Roman"/>
              </w:rPr>
            </w:pPr>
            <w:r w:rsidRPr="001C3802">
              <w:rPr>
                <w:rFonts w:ascii="Times New Roman" w:eastAsia="Arial" w:hAnsi="Times New Roman" w:cs="Times New Roman"/>
              </w:rPr>
              <w:t>6</w:t>
            </w:r>
          </w:p>
        </w:tc>
        <w:tc>
          <w:tcPr>
            <w:tcW w:w="1170" w:type="dxa"/>
            <w:tcBorders>
              <w:left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504463498</w:t>
            </w:r>
          </w:p>
        </w:tc>
        <w:tc>
          <w:tcPr>
            <w:tcW w:w="878" w:type="dxa"/>
            <w:tcBorders>
              <w:left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68.23</w:t>
            </w:r>
          </w:p>
        </w:tc>
        <w:tc>
          <w:tcPr>
            <w:tcW w:w="2220" w:type="dxa"/>
            <w:tcBorders>
              <w:left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fldChar w:fldCharType="begin"/>
            </w:r>
            <w:r w:rsidRPr="001C3802">
              <w:rPr>
                <w:rFonts w:ascii="Times New Roman" w:eastAsia="Arial" w:hAnsi="Times New Roman" w:cs="Times New Roman"/>
              </w:rPr>
              <w:instrText xml:space="preserve"> ADDIN ZOTERO_ITEM CSL_CITATION {"citationID":"DgSH3zc6","properties":{"formattedCitation":"(Calixto et al., 2015)","plainCitation":"(Calixto et al., 2015)","noteIndex":0},"citationItems":[{"id":5811,"uris":["http://zotero.org/groups/328762/items/M6XVRAW5"],"uri":["http://zotero.org/groups/328762/items/M6XVRAW5"],"itemData":{"id":5811,"type":"article-journal","title":"Evolutionary Relationships Among Barley and Arabidopsis Core Circadian Clock and Clock-Associated Genes","container-title":"Journal of Molecular Evolution","page":"108-119","volume":"80","source":"PubMed Central","abstract":"The circadian clock regulates a multitude of plant developmental and metabolic processes. In crop species, it contributes significantly to plant performance and productivity and to the adaptation and geographical range over which crops can be grown. To understand the clock in barley and how it relates to the components in the Arabidopsis thaliana clock, we have performed a systematic analysis of core circadian clock and clock-associated genes in barley, Arabidopsis and another eight species including tomato, potato, a range of monocotyledonous species and the moss, Physcomitrella patens. We have identified orthologues and paralogues of Arabidopsis genes which are conserved in all species, monocot/dicot differences, species-specific differences and variation in gene copy number (e.g. gene duplications among the various species). We propose that the common ancestor of barley and Arabidopsis had two-thirds of the key clock components identified in Arabidopsis prior to the separation of the monocot/dicot groups. After this separation, multiple independent gene duplication events took place in both monocot and dicot ancestors.","DOI":"10.1007/s00239-015-9665-0","ISSN":"0022-2844","note":"PMID: 25608480\nPMCID: PMC4320304","journalAbbreviation":"J Mol Evol","author":[{"family":"Calixto","given":"Cristiane P. G."},{"family":"Waugh","given":"Robbie"},{"family":"Brown","given":"John W. S."}],"issued":{"date-parts":[["2015"]]}}}],"schema":"https://github.com/citation-style-language/schema/raw/master/csl-citation.json"} </w:instrText>
            </w:r>
            <w:r w:rsidRPr="001C3802">
              <w:rPr>
                <w:rFonts w:ascii="Times New Roman" w:eastAsia="Arial" w:hAnsi="Times New Roman" w:cs="Times New Roman"/>
              </w:rPr>
              <w:fldChar w:fldCharType="separate"/>
            </w:r>
            <w:r w:rsidR="003B3687" w:rsidRPr="003B3687">
              <w:rPr>
                <w:rFonts w:ascii="Times New Roman" w:hAnsi="Times New Roman" w:cs="Times New Roman"/>
              </w:rPr>
              <w:t>(Calixto et al., 2015)</w:t>
            </w:r>
            <w:r w:rsidRPr="001C3802">
              <w:rPr>
                <w:rFonts w:ascii="Times New Roman" w:eastAsia="Arial" w:hAnsi="Times New Roman" w:cs="Times New Roman"/>
              </w:rPr>
              <w:fldChar w:fldCharType="end"/>
            </w:r>
          </w:p>
        </w:tc>
      </w:tr>
      <w:tr w:rsidR="001C3802" w:rsidRPr="001C3802" w:rsidTr="00221BDF">
        <w:trPr>
          <w:trHeight w:val="520"/>
          <w:jc w:val="center"/>
        </w:trPr>
        <w:tc>
          <w:tcPr>
            <w:tcW w:w="2336" w:type="dxa"/>
            <w:tcBorders>
              <w:left w:val="single" w:sz="4" w:space="0" w:color="auto"/>
              <w:right w:val="single" w:sz="4" w:space="0" w:color="auto"/>
            </w:tcBorders>
            <w:shd w:val="clear" w:color="000000" w:fill="FFFFFF"/>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HORVU7Hr1G024610</w:t>
            </w:r>
          </w:p>
        </w:tc>
        <w:tc>
          <w:tcPr>
            <w:tcW w:w="2681" w:type="dxa"/>
            <w:tcBorders>
              <w:left w:val="single" w:sz="4" w:space="0" w:color="auto"/>
              <w:right w:val="single" w:sz="4" w:space="0" w:color="auto"/>
            </w:tcBorders>
            <w:shd w:val="clear" w:color="000000" w:fill="FFFFFF"/>
            <w:vAlign w:val="center"/>
            <w:hideMark/>
          </w:tcPr>
          <w:p w:rsidR="001C3802" w:rsidRPr="001C3802" w:rsidRDefault="00855350" w:rsidP="001C3802">
            <w:pPr>
              <w:spacing w:after="0" w:line="240" w:lineRule="auto"/>
              <w:rPr>
                <w:rFonts w:ascii="Times New Roman" w:eastAsia="Arial" w:hAnsi="Times New Roman" w:cs="Times New Roman"/>
              </w:rPr>
            </w:pPr>
            <w:proofErr w:type="spellStart"/>
            <w:r>
              <w:rPr>
                <w:rFonts w:ascii="Times New Roman" w:eastAsia="Arial" w:hAnsi="Times New Roman" w:cs="Times New Roman"/>
                <w:i/>
              </w:rPr>
              <w:t>HvFLOWERING</w:t>
            </w:r>
            <w:proofErr w:type="spellEnd"/>
            <w:r>
              <w:rPr>
                <w:rFonts w:ascii="Times New Roman" w:eastAsia="Arial" w:hAnsi="Times New Roman" w:cs="Times New Roman"/>
                <w:i/>
              </w:rPr>
              <w:t xml:space="preserve"> LOCUS T-LIKE (HVFT1) /</w:t>
            </w:r>
            <w:r w:rsidR="001C3802" w:rsidRPr="001C3802">
              <w:rPr>
                <w:rFonts w:ascii="Times New Roman" w:eastAsia="Arial" w:hAnsi="Times New Roman" w:cs="Times New Roman"/>
                <w:i/>
              </w:rPr>
              <w:t>VERNALIZATION-H3</w:t>
            </w:r>
            <w:r w:rsidR="001C3802" w:rsidRPr="001C3802">
              <w:rPr>
                <w:rFonts w:ascii="Times New Roman" w:eastAsia="Arial" w:hAnsi="Times New Roman" w:cs="Times New Roman"/>
              </w:rPr>
              <w:t xml:space="preserve"> (</w:t>
            </w:r>
            <w:r w:rsidR="001C3802" w:rsidRPr="001C3802">
              <w:rPr>
                <w:rFonts w:ascii="Times New Roman" w:eastAsia="Arial" w:hAnsi="Times New Roman" w:cs="Times New Roman"/>
                <w:i/>
              </w:rPr>
              <w:t>VRN-H3</w:t>
            </w:r>
            <w:r w:rsidR="001C3802" w:rsidRPr="001C3802">
              <w:rPr>
                <w:rFonts w:ascii="Times New Roman" w:eastAsia="Arial" w:hAnsi="Times New Roman" w:cs="Times New Roman"/>
              </w:rPr>
              <w:t>)</w:t>
            </w:r>
          </w:p>
        </w:tc>
        <w:tc>
          <w:tcPr>
            <w:tcW w:w="3132" w:type="dxa"/>
            <w:tcBorders>
              <w:left w:val="single" w:sz="4" w:space="0" w:color="auto"/>
              <w:right w:val="single" w:sz="4" w:space="0" w:color="auto"/>
            </w:tcBorders>
            <w:shd w:val="clear" w:color="000000" w:fill="FFFFFF"/>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FLOWERING LOCUS T-like</w:t>
            </w:r>
          </w:p>
        </w:tc>
        <w:tc>
          <w:tcPr>
            <w:tcW w:w="448" w:type="dxa"/>
            <w:tcBorders>
              <w:left w:val="single" w:sz="4" w:space="0" w:color="auto"/>
              <w:right w:val="single" w:sz="4" w:space="0" w:color="auto"/>
            </w:tcBorders>
            <w:shd w:val="clear" w:color="000000" w:fill="FFFFFF"/>
            <w:vAlign w:val="center"/>
            <w:hideMark/>
          </w:tcPr>
          <w:p w:rsidR="001C3802" w:rsidRPr="001C3802" w:rsidRDefault="001C3802" w:rsidP="001C3802">
            <w:pPr>
              <w:spacing w:after="0" w:line="240" w:lineRule="auto"/>
              <w:jc w:val="center"/>
              <w:rPr>
                <w:rFonts w:ascii="Times New Roman" w:eastAsia="Arial" w:hAnsi="Times New Roman" w:cs="Times New Roman"/>
              </w:rPr>
            </w:pPr>
            <w:r w:rsidRPr="001C3802">
              <w:rPr>
                <w:rFonts w:ascii="Times New Roman" w:eastAsia="Arial" w:hAnsi="Times New Roman" w:cs="Times New Roman"/>
              </w:rPr>
              <w:t>7</w:t>
            </w:r>
          </w:p>
        </w:tc>
        <w:tc>
          <w:tcPr>
            <w:tcW w:w="1170" w:type="dxa"/>
            <w:tcBorders>
              <w:left w:val="single" w:sz="4" w:space="0" w:color="auto"/>
              <w:right w:val="single" w:sz="4" w:space="0" w:color="auto"/>
            </w:tcBorders>
            <w:shd w:val="clear" w:color="000000" w:fill="FFFFFF"/>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39679905</w:t>
            </w:r>
          </w:p>
        </w:tc>
        <w:tc>
          <w:tcPr>
            <w:tcW w:w="878" w:type="dxa"/>
            <w:tcBorders>
              <w:left w:val="single" w:sz="4" w:space="0" w:color="auto"/>
              <w:right w:val="single" w:sz="4" w:space="0" w:color="auto"/>
            </w:tcBorders>
            <w:shd w:val="clear" w:color="000000" w:fill="FFFFFF"/>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33.67</w:t>
            </w:r>
          </w:p>
        </w:tc>
        <w:tc>
          <w:tcPr>
            <w:tcW w:w="2220" w:type="dxa"/>
            <w:tcBorders>
              <w:left w:val="single" w:sz="4" w:space="0" w:color="auto"/>
              <w:right w:val="single" w:sz="4" w:space="0" w:color="auto"/>
            </w:tcBorders>
            <w:shd w:val="clear" w:color="000000" w:fill="FFFFFF"/>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fldChar w:fldCharType="begin"/>
            </w:r>
            <w:r w:rsidRPr="001C3802">
              <w:rPr>
                <w:rFonts w:ascii="Times New Roman" w:eastAsia="Arial" w:hAnsi="Times New Roman" w:cs="Times New Roman"/>
              </w:rPr>
              <w:instrText xml:space="preserve"> ADDIN ZOTERO_ITEM CSL_CITATION {"citationID":"ICq2ozK5","properties":{"formattedCitation":"(Yan et al., 2006)","plainCitation":"(Yan et al., 2006)","noteIndex":0},"citationItems":[{"id":4783,"uris":["http://zotero.org/groups/328762/items/4WNAL3Q3"],"uri":["http://zotero.org/groups/328762/items/4WNAL3Q3"],"itemData":{"id":4783,"type":"article-journal","title":"The wheat and barley vernalization gene &lt;i&gt;VRN3&lt;/i&gt; is an orthologue of &lt;i&gt;FT&lt;/i&gt;","container-title":"Proceedings of the National Academy of Sciences","page":"19581-19586","volume":"103","issue":"51","source":"www.pnas.org.ezp1.lib.umn.edu","abstract":"&lt;p&gt;Winter wheat and barley varieties require an extended exposure to low temperatures to accelerate flowering (vernalization), whereas spring varieties do not have this requirement. In this study, we show that in these species, the vernalization gene &lt;i&gt;VRN3&lt;/i&gt; is linked completely to a gene similar to &lt;i&gt;Arabidopsis FLOWERING LOCUS T&lt;/i&gt; (&lt;i&gt;FT&lt;/i&gt;). &lt;i&gt;FT&lt;/i&gt; induction in the leaves results in a transmissible signal that promotes flowering. Transcript levels of the barley and wheat orthologues, designated as &lt;i&gt;HvFT&lt;/i&gt; and &lt;i&gt;TaFT&lt;/i&gt;, respectively, are significantly higher in plants homozygous for the dominant &lt;i&gt;Vrn3&lt;/i&gt; alleles (early flowering) than in plants homozygous for the recessive &lt;i&gt;vrn3&lt;/i&gt; alleles (late flowering). In wheat, the dominant &lt;i&gt;Vrn3&lt;/i&gt; allele is associated with the insertion of a retroelement in the &lt;i&gt;TaFT&lt;/i&gt; promoter, whereas in barley, mutations in the &lt;i&gt;HvFT&lt;/i&gt; first intron differentiate plants with dominant and recessive &lt;i&gt;VRN3&lt;/i&gt; alleles. Winter wheat plants transformed with the &lt;i&gt;TaFT&lt;/i&gt; allele carrying the promoter retroelement insertion flowered significantly earlier than nontransgenic plants, supporting the identity between &lt;i&gt;TaFT&lt;/i&gt; and &lt;i&gt;VRN-B3&lt;/i&gt;. Statistical analyses of flowering times confirmed the presence of significant interactions between vernalization and &lt;i&gt;FT&lt;/i&gt; allelic classes in both wheat and barley (&lt;i&gt;P&lt;/i&gt; &amp;lt; 0.0001). These interactions were supported further by the observed up-regulation of &lt;i&gt;HvFT&lt;/i&gt; transcript levels by vernalization in barley winter plants (&lt;i&gt;P&lt;/i&gt; = 0.002). These results confirmed that the wheat and barley &lt;i&gt;FT&lt;/i&gt; genes are responsible for natural allelic variation in vernalization requirement, providing additional sources of adaptive diversity to these economically important crops.&lt;/p&gt;","DOI":"10.1073/pnas.0607142103","ISSN":"0027-8424, 1091-6490","note":"PMID: 17158798","journalAbbreviation":"PNAS","language":"en","author":[{"family":"Yan","given":"L."},{"family":"Fu","given":"D."},{"family":"Li","given":"C."},{"family":"Blechl","given":"A."},{"family":"Tranquilli","given":"G."},{"family":"Bonafede","given":"M."},{"family":"Sanchez","given":"A."},{"family":"Valarik","given":"M."},{"family":"Yasuda","given":"S."},{"family":"Dubcovsky","given":"J."}],"issued":{"date-parts":[["2006",12,19]]}}}],"schema":"https://github.com/citation-style-language/schema/raw/master/csl-citation.json"} </w:instrText>
            </w:r>
            <w:r w:rsidRPr="001C3802">
              <w:rPr>
                <w:rFonts w:ascii="Times New Roman" w:eastAsia="Arial" w:hAnsi="Times New Roman" w:cs="Times New Roman"/>
              </w:rPr>
              <w:fldChar w:fldCharType="separate"/>
            </w:r>
            <w:r w:rsidR="003B3687" w:rsidRPr="003B3687">
              <w:rPr>
                <w:rFonts w:ascii="Times New Roman" w:hAnsi="Times New Roman" w:cs="Times New Roman"/>
              </w:rPr>
              <w:t>(Yan et al., 2006)</w:t>
            </w:r>
            <w:r w:rsidRPr="001C3802">
              <w:rPr>
                <w:rFonts w:ascii="Times New Roman" w:eastAsia="Arial" w:hAnsi="Times New Roman" w:cs="Times New Roman"/>
              </w:rPr>
              <w:fldChar w:fldCharType="end"/>
            </w:r>
          </w:p>
        </w:tc>
      </w:tr>
      <w:tr w:rsidR="001C3802" w:rsidRPr="001C3802" w:rsidTr="00221BDF">
        <w:trPr>
          <w:trHeight w:val="260"/>
          <w:jc w:val="center"/>
        </w:trPr>
        <w:tc>
          <w:tcPr>
            <w:tcW w:w="2336" w:type="dxa"/>
            <w:tcBorders>
              <w:left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HORVU7Hr1G043030</w:t>
            </w:r>
          </w:p>
        </w:tc>
        <w:tc>
          <w:tcPr>
            <w:tcW w:w="2681" w:type="dxa"/>
            <w:tcBorders>
              <w:left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i/>
              </w:rPr>
              <w:t>CONSTANS 1</w:t>
            </w:r>
            <w:r w:rsidRPr="001C3802">
              <w:rPr>
                <w:rFonts w:ascii="Times New Roman" w:eastAsia="Arial" w:hAnsi="Times New Roman" w:cs="Times New Roman"/>
              </w:rPr>
              <w:t>-like (</w:t>
            </w:r>
            <w:r w:rsidRPr="001C3802">
              <w:rPr>
                <w:rFonts w:ascii="Times New Roman" w:eastAsia="Arial" w:hAnsi="Times New Roman" w:cs="Times New Roman"/>
                <w:i/>
              </w:rPr>
              <w:t>CO1</w:t>
            </w:r>
            <w:r w:rsidRPr="001C3802">
              <w:rPr>
                <w:rFonts w:ascii="Times New Roman" w:eastAsia="Arial" w:hAnsi="Times New Roman" w:cs="Times New Roman"/>
              </w:rPr>
              <w:t>)</w:t>
            </w:r>
          </w:p>
        </w:tc>
        <w:tc>
          <w:tcPr>
            <w:tcW w:w="3132" w:type="dxa"/>
            <w:tcBorders>
              <w:left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Transcription factor with a CCT domain</w:t>
            </w:r>
          </w:p>
        </w:tc>
        <w:tc>
          <w:tcPr>
            <w:tcW w:w="448" w:type="dxa"/>
            <w:tcBorders>
              <w:left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jc w:val="center"/>
              <w:rPr>
                <w:rFonts w:ascii="Times New Roman" w:eastAsia="Arial" w:hAnsi="Times New Roman" w:cs="Times New Roman"/>
              </w:rPr>
            </w:pPr>
            <w:r w:rsidRPr="001C3802">
              <w:rPr>
                <w:rFonts w:ascii="Times New Roman" w:eastAsia="Arial" w:hAnsi="Times New Roman" w:cs="Times New Roman"/>
              </w:rPr>
              <w:t>7</w:t>
            </w:r>
          </w:p>
        </w:tc>
        <w:tc>
          <w:tcPr>
            <w:tcW w:w="1170" w:type="dxa"/>
            <w:tcBorders>
              <w:left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127667781</w:t>
            </w:r>
          </w:p>
        </w:tc>
        <w:tc>
          <w:tcPr>
            <w:tcW w:w="878" w:type="dxa"/>
            <w:tcBorders>
              <w:left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67.91</w:t>
            </w:r>
          </w:p>
        </w:tc>
        <w:tc>
          <w:tcPr>
            <w:tcW w:w="2220" w:type="dxa"/>
            <w:tcBorders>
              <w:left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fldChar w:fldCharType="begin"/>
            </w:r>
            <w:r w:rsidRPr="001C3802">
              <w:rPr>
                <w:rFonts w:ascii="Times New Roman" w:eastAsia="Arial" w:hAnsi="Times New Roman" w:cs="Times New Roman"/>
              </w:rPr>
              <w:instrText xml:space="preserve"> ADDIN ZOTERO_ITEM CSL_CITATION {"citationID":"vF3ca7t2","properties":{"formattedCitation":"(Calixto et al., 2015)","plainCitation":"(Calixto et al., 2015)","noteIndex":0},"citationItems":[{"id":5811,"uris":["http://zotero.org/groups/328762/items/M6XVRAW5"],"uri":["http://zotero.org/groups/328762/items/M6XVRAW5"],"itemData":{"id":5811,"type":"article-journal","title":"Evolutionary Relationships Among Barley and Arabidopsis Core Circadian Clock and Clock-Associated Genes","container-title":"Journal of Molecular Evolution","page":"108-119","volume":"80","source":"PubMed Central","abstract":"The circadian clock regulates a multitude of plant developmental and metabolic processes. In crop species, it contributes significantly to plant performance and productivity and to the adaptation and geographical range over which crops can be grown. To understand the clock in barley and how it relates to the components in the Arabidopsis thaliana clock, we have performed a systematic analysis of core circadian clock and clock-associated genes in barley, Arabidopsis and another eight species including tomato, potato, a range of monocotyledonous species and the moss, Physcomitrella patens. We have identified orthologues and paralogues of Arabidopsis genes which are conserved in all species, monocot/dicot differences, species-specific differences and variation in gene copy number (e.g. gene duplications among the various species). We propose that the common ancestor of barley and Arabidopsis had two-thirds of the key clock components identified in Arabidopsis prior to the separation of the monocot/dicot groups. After this separation, multiple independent gene duplication events took place in both monocot and dicot ancestors.","DOI":"10.1007/s00239-015-9665-0","ISSN":"0022-2844","note":"PMID: 25608480\nPMCID: PMC4320304","journalAbbreviation":"J Mol Evol","author":[{"family":"Calixto","given":"Cristiane P. G."},{"family":"Waugh","given":"Robbie"},{"family":"Brown","given":"John W. S."}],"issued":{"date-parts":[["2015"]]}}}],"schema":"https://github.com/citation-style-language/schema/raw/master/csl-citation.json"} </w:instrText>
            </w:r>
            <w:r w:rsidRPr="001C3802">
              <w:rPr>
                <w:rFonts w:ascii="Times New Roman" w:eastAsia="Arial" w:hAnsi="Times New Roman" w:cs="Times New Roman"/>
              </w:rPr>
              <w:fldChar w:fldCharType="separate"/>
            </w:r>
            <w:r w:rsidR="003B3687" w:rsidRPr="003B3687">
              <w:rPr>
                <w:rFonts w:ascii="Times New Roman" w:hAnsi="Times New Roman" w:cs="Times New Roman"/>
              </w:rPr>
              <w:t>(Calixto et al., 2015)</w:t>
            </w:r>
            <w:r w:rsidRPr="001C3802">
              <w:rPr>
                <w:rFonts w:ascii="Times New Roman" w:eastAsia="Arial" w:hAnsi="Times New Roman" w:cs="Times New Roman"/>
              </w:rPr>
              <w:fldChar w:fldCharType="end"/>
            </w:r>
          </w:p>
        </w:tc>
      </w:tr>
      <w:tr w:rsidR="001C3802" w:rsidRPr="001C3802" w:rsidTr="00221BDF">
        <w:trPr>
          <w:trHeight w:val="780"/>
          <w:jc w:val="center"/>
        </w:trPr>
        <w:tc>
          <w:tcPr>
            <w:tcW w:w="2336" w:type="dxa"/>
            <w:tcBorders>
              <w:left w:val="single" w:sz="4" w:space="0" w:color="auto"/>
              <w:right w:val="single" w:sz="4" w:space="0" w:color="auto"/>
            </w:tcBorders>
            <w:shd w:val="clear" w:color="000000" w:fill="FFFFFF"/>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HORVU7Hr1G070870</w:t>
            </w:r>
          </w:p>
        </w:tc>
        <w:tc>
          <w:tcPr>
            <w:tcW w:w="2681" w:type="dxa"/>
            <w:tcBorders>
              <w:left w:val="single" w:sz="4" w:space="0" w:color="auto"/>
              <w:right w:val="single" w:sz="4" w:space="0" w:color="auto"/>
            </w:tcBorders>
            <w:shd w:val="clear" w:color="000000" w:fill="FFFFFF"/>
            <w:vAlign w:val="center"/>
            <w:hideMark/>
          </w:tcPr>
          <w:p w:rsidR="001C3802" w:rsidRPr="001C3802" w:rsidRDefault="00A76CC6" w:rsidP="001C3802">
            <w:pPr>
              <w:spacing w:after="0" w:line="240" w:lineRule="auto"/>
              <w:rPr>
                <w:rFonts w:ascii="Times New Roman" w:eastAsia="Arial" w:hAnsi="Times New Roman" w:cs="Times New Roman"/>
              </w:rPr>
            </w:pPr>
            <w:proofErr w:type="spellStart"/>
            <w:r>
              <w:rPr>
                <w:rFonts w:ascii="Times New Roman" w:eastAsia="Arial" w:hAnsi="Times New Roman" w:cs="Times New Roman"/>
                <w:i/>
              </w:rPr>
              <w:t>HvCIRCADIAN</w:t>
            </w:r>
            <w:proofErr w:type="spellEnd"/>
            <w:r>
              <w:rPr>
                <w:rFonts w:ascii="Times New Roman" w:eastAsia="Arial" w:hAnsi="Times New Roman" w:cs="Times New Roman"/>
                <w:i/>
              </w:rPr>
              <w:t xml:space="preserve"> CLOCK ASSOCIATED 1 (HvCCA1)/</w:t>
            </w:r>
            <w:proofErr w:type="spellStart"/>
            <w:r w:rsidR="005E5F0C">
              <w:rPr>
                <w:rFonts w:ascii="Times New Roman" w:eastAsia="Arial" w:hAnsi="Times New Roman" w:cs="Times New Roman"/>
                <w:i/>
              </w:rPr>
              <w:t>Hv</w:t>
            </w:r>
            <w:r w:rsidR="001C3802" w:rsidRPr="001C3802">
              <w:rPr>
                <w:rFonts w:ascii="Times New Roman" w:eastAsia="Arial" w:hAnsi="Times New Roman" w:cs="Times New Roman"/>
                <w:i/>
              </w:rPr>
              <w:t>LATE</w:t>
            </w:r>
            <w:proofErr w:type="spellEnd"/>
            <w:r w:rsidR="001C3802" w:rsidRPr="001C3802">
              <w:rPr>
                <w:rFonts w:ascii="Times New Roman" w:eastAsia="Arial" w:hAnsi="Times New Roman" w:cs="Times New Roman"/>
                <w:i/>
              </w:rPr>
              <w:t xml:space="preserve"> ELONGED HYPOCOTYL</w:t>
            </w:r>
            <w:r w:rsidR="001C3802" w:rsidRPr="001C3802">
              <w:rPr>
                <w:rFonts w:ascii="Times New Roman" w:eastAsia="Arial" w:hAnsi="Times New Roman" w:cs="Times New Roman"/>
              </w:rPr>
              <w:t>-like (</w:t>
            </w:r>
            <w:proofErr w:type="spellStart"/>
            <w:r w:rsidR="005E5F0C" w:rsidRPr="005E5F0C">
              <w:rPr>
                <w:rFonts w:ascii="Times New Roman" w:eastAsia="Arial" w:hAnsi="Times New Roman" w:cs="Times New Roman"/>
                <w:i/>
              </w:rPr>
              <w:t>Hv</w:t>
            </w:r>
            <w:r w:rsidR="001C3802" w:rsidRPr="001C3802">
              <w:rPr>
                <w:rFonts w:ascii="Times New Roman" w:eastAsia="Arial" w:hAnsi="Times New Roman" w:cs="Times New Roman"/>
                <w:i/>
              </w:rPr>
              <w:t>LHY</w:t>
            </w:r>
            <w:proofErr w:type="spellEnd"/>
            <w:r w:rsidR="005E5F0C">
              <w:rPr>
                <w:rFonts w:ascii="Times New Roman" w:eastAsia="Arial" w:hAnsi="Times New Roman" w:cs="Times New Roman"/>
                <w:i/>
              </w:rPr>
              <w:t>-like</w:t>
            </w:r>
            <w:r w:rsidR="001C3802" w:rsidRPr="001C3802">
              <w:rPr>
                <w:rFonts w:ascii="Times New Roman" w:eastAsia="Arial" w:hAnsi="Times New Roman" w:cs="Times New Roman"/>
              </w:rPr>
              <w:t>)</w:t>
            </w:r>
          </w:p>
        </w:tc>
        <w:tc>
          <w:tcPr>
            <w:tcW w:w="3132" w:type="dxa"/>
            <w:tcBorders>
              <w:left w:val="single" w:sz="4" w:space="0" w:color="auto"/>
              <w:right w:val="single" w:sz="4" w:space="0" w:color="auto"/>
            </w:tcBorders>
            <w:shd w:val="clear" w:color="000000" w:fill="FFFFFF"/>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Myb family transcription factor</w:t>
            </w:r>
          </w:p>
        </w:tc>
        <w:tc>
          <w:tcPr>
            <w:tcW w:w="448" w:type="dxa"/>
            <w:tcBorders>
              <w:left w:val="single" w:sz="4" w:space="0" w:color="auto"/>
              <w:right w:val="single" w:sz="4" w:space="0" w:color="auto"/>
            </w:tcBorders>
            <w:shd w:val="clear" w:color="000000" w:fill="FFFFFF"/>
            <w:vAlign w:val="center"/>
            <w:hideMark/>
          </w:tcPr>
          <w:p w:rsidR="001C3802" w:rsidRPr="001C3802" w:rsidRDefault="001C3802" w:rsidP="001C3802">
            <w:pPr>
              <w:spacing w:after="0" w:line="240" w:lineRule="auto"/>
              <w:jc w:val="center"/>
              <w:rPr>
                <w:rFonts w:ascii="Times New Roman" w:eastAsia="Arial" w:hAnsi="Times New Roman" w:cs="Times New Roman"/>
              </w:rPr>
            </w:pPr>
            <w:r w:rsidRPr="001C3802">
              <w:rPr>
                <w:rFonts w:ascii="Times New Roman" w:eastAsia="Arial" w:hAnsi="Times New Roman" w:cs="Times New Roman"/>
              </w:rPr>
              <w:t>7</w:t>
            </w:r>
          </w:p>
        </w:tc>
        <w:tc>
          <w:tcPr>
            <w:tcW w:w="1170" w:type="dxa"/>
            <w:tcBorders>
              <w:left w:val="single" w:sz="4" w:space="0" w:color="auto"/>
              <w:right w:val="single" w:sz="4" w:space="0" w:color="auto"/>
            </w:tcBorders>
            <w:shd w:val="clear" w:color="000000" w:fill="FFFFFF"/>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385861846</w:t>
            </w:r>
          </w:p>
        </w:tc>
        <w:tc>
          <w:tcPr>
            <w:tcW w:w="878" w:type="dxa"/>
            <w:tcBorders>
              <w:left w:val="single" w:sz="4" w:space="0" w:color="auto"/>
              <w:right w:val="single" w:sz="4" w:space="0" w:color="auto"/>
            </w:tcBorders>
            <w:shd w:val="clear" w:color="000000" w:fill="FFFFFF"/>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70.8</w:t>
            </w:r>
          </w:p>
        </w:tc>
        <w:tc>
          <w:tcPr>
            <w:tcW w:w="2220" w:type="dxa"/>
            <w:tcBorders>
              <w:left w:val="single" w:sz="4" w:space="0" w:color="auto"/>
              <w:right w:val="single" w:sz="4" w:space="0" w:color="auto"/>
            </w:tcBorders>
            <w:shd w:val="clear" w:color="000000" w:fill="FFFFFF"/>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fldChar w:fldCharType="begin"/>
            </w:r>
            <w:r w:rsidR="0054616F">
              <w:rPr>
                <w:rFonts w:ascii="Times New Roman" w:eastAsia="Arial" w:hAnsi="Times New Roman" w:cs="Times New Roman"/>
              </w:rPr>
              <w:instrText xml:space="preserve"> ADDIN ZOTERO_ITEM CSL_CITATION {"citationID":"Mecr76cj","properties":{"formattedCitation":"(Campoli et al., 2012; Ford et al., 2016; Russell et al., 2016)","plainCitation":"(Campoli et al., 2012; Ford et al., 2016; Russell et al., 2016)","noteIndex":0},"citationItems":[{"id":5712,"uris":["http://zotero.org/groups/328762/items/Z9AXZILS"],"uri":["http://zotero.org/groups/328762/items/Z9AXZILS"],"itemData":{"id":5712,"type":"article-journal","title":"Expression conservation within the circadian clock of a monocot: natural variation at barley &lt;i&gt;Ppd-H1&lt;/i&gt; affects circadian expression of flowering time genes, but not clock orthologs","container-title":"BMC Plant Biology","page":"1-15","volume":"12","issue":"1","source":"BioMed Central","abstract":"The circadian clock is an endogenous mechanism that coordinates biological processes with daily changes in the environment. In plants, circadian rhythms contribute to both agricultural productivity and evolutionary fitness. In barley, the photoperiod response regulator and flowering-time gene Ppd-H1 is orthologous to the Arabidopsis core-clock gene PRR7. However, relatively little is known about the role of Ppd-H1 and other components of the circadian clock in temperate crop species. In this study, we identified barley clock orthologs and tested the effects of natural genetic variation at Ppd-H1 on diurnal and circadian expression of clock and output genes from the photoperiod-response pathway.","DOI":"10.1186/1471-2229-12-97","ISSN":"1471-2229","title-short":"Expression conservation within the circadian clock of a monocot","journalAbbreviation":"BMC Plant Biology","author":[{"family":"Campoli","given":"Chiara"},{"family":"Shtaya","given":"Munqez"},{"family":"Davis","given":"Seth J."},{"family":"Korff","given":"Maria","non-dropping-particle":"von"}],"issued":{"date-parts":[["2012",6,21]]}}},{"id":5709,"uris":["http://zotero.org/groups/328762/items/7B9TPPEL"],"uri":["http://zotero.org/groups/328762/items/7B9TPPEL"],"itemData":{"id":5709,"type":"article-journal","title":"Barley (&lt;i&gt;Hordeum vulgare&lt;/i&gt;) circadian clock genes can respond rapidly to temperature in an EARLY FLOWERING 3-dependent manner","container-title":"Journal of Experimental Botany","page":"5517-5528","volume":"67","issue":"18","source":"PubMed Central","abstract":"In barley, GIGANTEA and the PSEUDO RESPONSE REGULATOR clock genes respond rapidly to temperature in an EARLY FLOWERING 3-dependent manner., An increase in global temperatures will impact future crop yields. In the cereal crops wheat and barley, high temperatures accelerate reproductive development, reducing the number of grains per plant and final grain yield. Despite this relationship between temperature and cereal yield, it is not clear what genes and molecular pathways mediate the developmental response to increased temperatures. The plant circadian clock can respond to changes in temperature and is important for photoperiod-dependent flowering, and so is a potential mechanism controlling temperature responses in cereal crops. This study examines the relationship between temperature, the circadian clock, and the expression of flowering-time genes in barley (Hordeum vulgare), a crop model for temperate cereals. Transcript levels of barley core circadian clock genes were assayed over a range of temperatures. Transcript levels of core clock genes CCA1, GI, PRR59, PRR73, PRR95, and LUX are increased at higher temperatures. CCA1 and PRR73 respond rapidly to a decrease in temperature whereas GI and PRR59 respond rapidly to an increase in temperature. The response of GI and the PRR genes to changes in temperature is lost in the elf3 mutant indicating that their response to temperature may be dependent on a functional ELF3 gene.","DOI":"10.1093/jxb/erw317","ISSN":"0022-0957","note":"PMID: 27580625\nPMCID: PMC5049398","journalAbbreviation":"J Exp Bot","author":[{"family":"Ford","given":"Brett"},{"family":"Deng","given":"Weiwei"},{"family":"Clausen","given":"Jenni"},{"family":"Oliver","given":"Sandra"},{"family":"Boden","given":"Scott"},{"family":"Hemming","given":"Megan"},{"family":"Trevaskis","given":"Ben"}],"issued":{"date-parts":[["2016",10]]}}},{"id":5575,"uris":["http://zotero.org/groups/328762/items/3K2QQ53B"],"uri":["http://zotero.org/groups/328762/items/3K2QQ53B"],"itemData":{"id":5575,"type":"article-journal","title":"Exome sequencing of geographically diverse barley landraces and wild relatives gives insights into environmental adaptation","container-title":"Nature Genetics","page":"1024-1030","volume":"48","issue":"9","source":"www.nature.com.ezp3.lib.umn.edu","abstract":"After domestication, during a process of widespread range extension, barley adapted to a broad spectrum of agricultural environments. To explore how the barley genome responded to the environmental challenges it encountered, we sequenced the exomes of a collection of 267 georeferenced landraces and wild accessions. A combination of genome-wide analyses showed that patterns of variation have been strongly shaped by geography and that variant-by-environment associations for individual genes are prominent in our data set. We observed significant correlations of days to heading (flowering) and height with seasonal temperature and dryness variables in common garden experiments, suggesting that these traits were major drivers of environmental adaptation in the sampled germplasm. A detailed analysis of known flowering-associated genes showed that many contain extensive sequence variation and that patterns of single- and multiple-gene haplotypes exhibit strong geographical structuring. This variation appears to have substantially contributed to range-wide ecogeographical adaptation, but many factors key to regional success remain unidentified.","DOI":"10.1038/ng.3612","ISSN":"1546-1718","language":"en","author":[{"family":"Russell","given":"Joanne"},{"family":"Mascher","given":"Martin"},{"family":"Dawson","given":"Ian K."},{"family":"Kyriakidis","given":"Stylianos"},{"family":"Calixto","given":"Cristiane"},{"family":"Freund","given":"Fabian"},{"family":"Bayer","given":"Micha"},{"family":"Milne","given":"Iain"},{"family":"Marshall-Griffiths","given":"Tony"},{"family":"Heinen","given":"Shane"},{"family":"Hofstad","given":"Anna"},{"family":"Sharma","given":"Rajiv"},{"family":"Himmelbach","given":"Axel"},{"family":"Knauft","given":"Manuela"},{"family":"Zonneveld","given":"Maarten","dropping-particle":"van"},{"family":"Brown","given":"John W. S."},{"family":"Schmid","given":"Karl"},{"family":"Kilian","given":"Benjamin"},{"family":"Muehlbauer","given":"Gary J."},{"family":"Stein","given":"Nils"},{"family":"Waugh","given":"Robbie"}],"issued":{"date-parts":[["2016",9]]}}}],"schema":"https://github.com/citation-style-language/schema/raw/master/csl-citation.json"} </w:instrText>
            </w:r>
            <w:r w:rsidRPr="001C3802">
              <w:rPr>
                <w:rFonts w:ascii="Times New Roman" w:eastAsia="Arial" w:hAnsi="Times New Roman" w:cs="Times New Roman"/>
              </w:rPr>
              <w:fldChar w:fldCharType="separate"/>
            </w:r>
            <w:r w:rsidR="003B3687" w:rsidRPr="003B3687">
              <w:rPr>
                <w:rFonts w:ascii="Times New Roman" w:hAnsi="Times New Roman" w:cs="Times New Roman"/>
              </w:rPr>
              <w:t>(Campoli et al., 2012; Ford et al., 2016; Russell et al., 2016)</w:t>
            </w:r>
            <w:r w:rsidRPr="001C3802">
              <w:rPr>
                <w:rFonts w:ascii="Times New Roman" w:eastAsia="Arial" w:hAnsi="Times New Roman" w:cs="Times New Roman"/>
              </w:rPr>
              <w:fldChar w:fldCharType="end"/>
            </w:r>
          </w:p>
        </w:tc>
      </w:tr>
      <w:tr w:rsidR="001C3802" w:rsidRPr="001C3802" w:rsidTr="00221BDF">
        <w:trPr>
          <w:trHeight w:val="260"/>
          <w:jc w:val="center"/>
        </w:trPr>
        <w:tc>
          <w:tcPr>
            <w:tcW w:w="2336" w:type="dxa"/>
            <w:tcBorders>
              <w:left w:val="single" w:sz="4" w:space="0" w:color="auto"/>
              <w:bottom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HORVU7Hr1G099010</w:t>
            </w:r>
          </w:p>
        </w:tc>
        <w:tc>
          <w:tcPr>
            <w:tcW w:w="2681" w:type="dxa"/>
            <w:tcBorders>
              <w:left w:val="single" w:sz="4" w:space="0" w:color="auto"/>
              <w:bottom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i/>
              </w:rPr>
              <w:t>ZEITLUPEa</w:t>
            </w:r>
            <w:r w:rsidRPr="001C3802">
              <w:rPr>
                <w:rFonts w:ascii="Times New Roman" w:eastAsia="Arial" w:hAnsi="Times New Roman" w:cs="Times New Roman"/>
              </w:rPr>
              <w:t xml:space="preserve"> (</w:t>
            </w:r>
            <w:r w:rsidRPr="001C3802">
              <w:rPr>
                <w:rFonts w:ascii="Times New Roman" w:eastAsia="Arial" w:hAnsi="Times New Roman" w:cs="Times New Roman"/>
                <w:i/>
              </w:rPr>
              <w:t>ZTLa</w:t>
            </w:r>
            <w:r w:rsidRPr="001C3802">
              <w:rPr>
                <w:rFonts w:ascii="Times New Roman" w:eastAsia="Arial" w:hAnsi="Times New Roman" w:cs="Times New Roman"/>
              </w:rPr>
              <w:t>)</w:t>
            </w:r>
          </w:p>
        </w:tc>
        <w:tc>
          <w:tcPr>
            <w:tcW w:w="3132" w:type="dxa"/>
            <w:tcBorders>
              <w:left w:val="single" w:sz="4" w:space="0" w:color="auto"/>
              <w:bottom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F-box protein, part of SCF complex that degrades TOC1</w:t>
            </w:r>
          </w:p>
        </w:tc>
        <w:tc>
          <w:tcPr>
            <w:tcW w:w="448" w:type="dxa"/>
            <w:tcBorders>
              <w:left w:val="single" w:sz="4" w:space="0" w:color="auto"/>
              <w:bottom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jc w:val="center"/>
              <w:rPr>
                <w:rFonts w:ascii="Times New Roman" w:eastAsia="Arial" w:hAnsi="Times New Roman" w:cs="Times New Roman"/>
              </w:rPr>
            </w:pPr>
            <w:r w:rsidRPr="001C3802">
              <w:rPr>
                <w:rFonts w:ascii="Times New Roman" w:eastAsia="Arial" w:hAnsi="Times New Roman" w:cs="Times New Roman"/>
              </w:rPr>
              <w:t>7</w:t>
            </w:r>
          </w:p>
        </w:tc>
        <w:tc>
          <w:tcPr>
            <w:tcW w:w="1170" w:type="dxa"/>
            <w:tcBorders>
              <w:left w:val="single" w:sz="4" w:space="0" w:color="auto"/>
              <w:bottom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599452510</w:t>
            </w:r>
          </w:p>
        </w:tc>
        <w:tc>
          <w:tcPr>
            <w:tcW w:w="878" w:type="dxa"/>
            <w:tcBorders>
              <w:left w:val="single" w:sz="4" w:space="0" w:color="auto"/>
              <w:bottom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97.3</w:t>
            </w:r>
          </w:p>
        </w:tc>
        <w:tc>
          <w:tcPr>
            <w:tcW w:w="2220" w:type="dxa"/>
            <w:tcBorders>
              <w:left w:val="single" w:sz="4" w:space="0" w:color="auto"/>
              <w:bottom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fldChar w:fldCharType="begin"/>
            </w:r>
            <w:r w:rsidRPr="001C3802">
              <w:rPr>
                <w:rFonts w:ascii="Times New Roman" w:eastAsia="Arial" w:hAnsi="Times New Roman" w:cs="Times New Roman"/>
              </w:rPr>
              <w:instrText xml:space="preserve"> ADDIN ZOTERO_ITEM CSL_CITATION {"citationID":"yJkFMbwo","properties":{"formattedCitation":"(Calixto et al., 2015)","plainCitation":"(Calixto et al., 2015)","noteIndex":0},"citationItems":[{"id":5811,"uris":["http://zotero.org/groups/328762/items/M6XVRAW5"],"uri":["http://zotero.org/groups/328762/items/M6XVRAW5"],"itemData":{"id":5811,"type":"article-journal","title":"Evolutionary Relationships Among Barley and Arabidopsis Core Circadian Clock and Clock-Associated Genes","container-title":"Journal of Molecular Evolution","page":"108-119","volume":"80","source":"PubMed Central","abstract":"The circadian clock regulates a multitude of plant developmental and metabolic processes. In crop species, it contributes significantly to plant performance and productivity and to the adaptation and geographical range over which crops can be grown. To understand the clock in barley and how it relates to the components in the Arabidopsis thaliana clock, we have performed a systematic analysis of core circadian clock and clock-associated genes in barley, Arabidopsis and another eight species including tomato, potato, a range of monocotyledonous species and the moss, Physcomitrella patens. We have identified orthologues and paralogues of Arabidopsis genes which are conserved in all species, monocot/dicot differences, species-specific differences and variation in gene copy number (e.g. gene duplications among the various species). We propose that the common ancestor of barley and Arabidopsis had two-thirds of the key clock components identified in Arabidopsis prior to the separation of the monocot/dicot groups. After this separation, multiple independent gene duplication events took place in both monocot and dicot ancestors.","DOI":"10.1007/s00239-015-9665-0","ISSN":"0022-2844","note":"PMID: 25608480\nPMCID: PMC4320304","journalAbbreviation":"J Mol Evol","author":[{"family":"Calixto","given":"Cristiane P. G."},{"family":"Waugh","given":"Robbie"},{"family":"Brown","given":"John W. S."}],"issued":{"date-parts":[["2015"]]}}}],"schema":"https://github.com/citation-style-language/schema/raw/master/csl-citation.json"} </w:instrText>
            </w:r>
            <w:r w:rsidRPr="001C3802">
              <w:rPr>
                <w:rFonts w:ascii="Times New Roman" w:eastAsia="Arial" w:hAnsi="Times New Roman" w:cs="Times New Roman"/>
              </w:rPr>
              <w:fldChar w:fldCharType="separate"/>
            </w:r>
            <w:r w:rsidR="003B3687" w:rsidRPr="003B3687">
              <w:rPr>
                <w:rFonts w:ascii="Times New Roman" w:hAnsi="Times New Roman" w:cs="Times New Roman"/>
              </w:rPr>
              <w:t>(Calixto et al., 2015)</w:t>
            </w:r>
            <w:r w:rsidRPr="001C3802">
              <w:rPr>
                <w:rFonts w:ascii="Times New Roman" w:eastAsia="Arial" w:hAnsi="Times New Roman" w:cs="Times New Roman"/>
              </w:rPr>
              <w:fldChar w:fldCharType="end"/>
            </w:r>
          </w:p>
        </w:tc>
      </w:tr>
      <w:tr w:rsidR="001C3802" w:rsidRPr="001C3802" w:rsidTr="00221BDF">
        <w:trPr>
          <w:trHeight w:val="260"/>
          <w:jc w:val="center"/>
        </w:trPr>
        <w:tc>
          <w:tcPr>
            <w:tcW w:w="12865"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1C3802" w:rsidRPr="001C3802" w:rsidRDefault="001C3802" w:rsidP="001C3802">
            <w:pPr>
              <w:spacing w:after="0" w:line="240" w:lineRule="auto"/>
              <w:jc w:val="center"/>
              <w:rPr>
                <w:rFonts w:ascii="Times New Roman" w:eastAsia="Arial" w:hAnsi="Times New Roman" w:cs="Times New Roman"/>
              </w:rPr>
            </w:pPr>
            <w:r w:rsidRPr="001C3802">
              <w:rPr>
                <w:rFonts w:ascii="Times New Roman" w:eastAsia="Arial" w:hAnsi="Times New Roman" w:cs="Times New Roman"/>
              </w:rPr>
              <w:t>Spike Morphology Genes</w:t>
            </w:r>
          </w:p>
        </w:tc>
      </w:tr>
      <w:tr w:rsidR="001C3802" w:rsidRPr="001C3802" w:rsidTr="00221BDF">
        <w:trPr>
          <w:trHeight w:val="260"/>
          <w:jc w:val="center"/>
        </w:trPr>
        <w:tc>
          <w:tcPr>
            <w:tcW w:w="2336" w:type="dxa"/>
            <w:tcBorders>
              <w:top w:val="single" w:sz="4" w:space="0" w:color="auto"/>
              <w:left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HORVU1Hr1G051010</w:t>
            </w:r>
          </w:p>
        </w:tc>
        <w:tc>
          <w:tcPr>
            <w:tcW w:w="2681" w:type="dxa"/>
            <w:tcBorders>
              <w:top w:val="single" w:sz="4" w:space="0" w:color="auto"/>
              <w:left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i/>
              </w:rPr>
              <w:t xml:space="preserve">SIX-ROWED SPIKE 3 </w:t>
            </w:r>
            <w:r w:rsidRPr="001C3802">
              <w:rPr>
                <w:rFonts w:ascii="Times New Roman" w:eastAsia="Arial" w:hAnsi="Times New Roman" w:cs="Times New Roman"/>
              </w:rPr>
              <w:t>(</w:t>
            </w:r>
            <w:r w:rsidRPr="001C3802">
              <w:rPr>
                <w:rFonts w:ascii="Times New Roman" w:eastAsia="Arial" w:hAnsi="Times New Roman" w:cs="Times New Roman"/>
                <w:i/>
              </w:rPr>
              <w:t>VRS3</w:t>
            </w:r>
            <w:r w:rsidRPr="001C3802">
              <w:rPr>
                <w:rFonts w:ascii="Times New Roman" w:eastAsia="Arial" w:hAnsi="Times New Roman" w:cs="Times New Roman"/>
              </w:rPr>
              <w:t>)</w:t>
            </w:r>
          </w:p>
        </w:tc>
        <w:tc>
          <w:tcPr>
            <w:tcW w:w="3132" w:type="dxa"/>
            <w:tcBorders>
              <w:top w:val="single" w:sz="4" w:space="0" w:color="auto"/>
              <w:left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Histone demethylase</w:t>
            </w:r>
          </w:p>
        </w:tc>
        <w:tc>
          <w:tcPr>
            <w:tcW w:w="448" w:type="dxa"/>
            <w:tcBorders>
              <w:top w:val="single" w:sz="4" w:space="0" w:color="auto"/>
              <w:left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jc w:val="center"/>
              <w:rPr>
                <w:rFonts w:ascii="Times New Roman" w:eastAsia="Arial" w:hAnsi="Times New Roman" w:cs="Times New Roman"/>
              </w:rPr>
            </w:pPr>
            <w:r w:rsidRPr="001C3802">
              <w:rPr>
                <w:rFonts w:ascii="Times New Roman" w:eastAsia="Arial" w:hAnsi="Times New Roman" w:cs="Times New Roman"/>
              </w:rPr>
              <w:t>1</w:t>
            </w:r>
          </w:p>
        </w:tc>
        <w:tc>
          <w:tcPr>
            <w:tcW w:w="1170" w:type="dxa"/>
            <w:tcBorders>
              <w:top w:val="single" w:sz="4" w:space="0" w:color="auto"/>
              <w:left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378411487</w:t>
            </w:r>
          </w:p>
        </w:tc>
        <w:tc>
          <w:tcPr>
            <w:tcW w:w="878" w:type="dxa"/>
            <w:tcBorders>
              <w:top w:val="single" w:sz="4" w:space="0" w:color="auto"/>
              <w:left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49.02</w:t>
            </w:r>
          </w:p>
        </w:tc>
        <w:tc>
          <w:tcPr>
            <w:tcW w:w="2220" w:type="dxa"/>
            <w:tcBorders>
              <w:top w:val="single" w:sz="4" w:space="0" w:color="auto"/>
              <w:left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fldChar w:fldCharType="begin"/>
            </w:r>
            <w:r w:rsidR="003B3687">
              <w:rPr>
                <w:rFonts w:ascii="Times New Roman" w:eastAsia="Arial" w:hAnsi="Times New Roman" w:cs="Times New Roman"/>
              </w:rPr>
              <w:instrText xml:space="preserve"> ADDIN ZOTERO_ITEM CSL_CITATION {"citationID":"vbdDCL3W","properties":{"formattedCitation":"(van Esse et al., 2017)","plainCitation":"(van Esse et al., 2017)","noteIndex":0},"citationItems":[{"id":4860,"uris":["http://zotero.org/groups/328762/items/KLANA78K"],"uri":["http://zotero.org/groups/328762/items/KLANA78K"],"itemData":{"id":4860,"type":"article-journal","title":"Six-rowed spike 3 (VRS3) is a histone demethylase that controls lateral spikelet development in barley","container-title":"Plant Physiology","page":"2397-2408","volume":"174","source":"www.plantphysiol.org.ezp3.lib.umn.edu","abstract":"The complex nature of crop genomes has long prohibited the efficient isolation of agronomically relevant genes. However, recent advances in next-generation sequencing (NGS) technologies provide new ways to accelerate fine-mapping and gene isolation in crops. We used RNA-sequencing of allelic six-rowed spike 3 (vrs3) mutants with altered spikelet development for gene identification and functional analysis in barley (Hordeum vulgare). Variant calling in two allelic vrs3 mutants revealed that VRS3 encodes a putative histone lysine demethylase with a conserved zinc finger, Jumonji C and N domain. Sanger sequencing of this candidate gene in independent allelic vrs3 mutants revealed a series of mutations in conserved domains, thus confirming our candidate as the VRS3 gene and suggesting that the row type in barley is determined epigenetically. Global transcriptional profiling in developing shoot apical meristems of vrs3 suggested that VRS3 acts as a transcriptional activator of the row-type genes VRS1 (Hv.Hox 1) and INTERMEDIUM-C (INT-C; Hv.TEOSINTE BRANCHED 1). Comparative transcriptome analysis of the row-type mutants vrs3, vrs4 (Hv.RAMOSA2) and int-c confirmed that all three genes act as transcriptional activators of VRS1 and quantitative variation in the expression levels of VRS1 in these mutants correlated with differences in the number of fertile lateral spikelets. The identification of genes and pathways affecting seed number in small grain cereals will enable to further unravel the transcriptional networks controlling this important yield component.","ISSN":"0032-0889, 1532-2548","note":"PMID: 28655778","language":"en","author":[{"family":"Esse","given":"G. Wilma","non-dropping-particle":"van"},{"family":"Walla","given":"Agatha"},{"family":"Finke","given":"Andreas"},{"family":"Koornneef","given":"Maarten"},{"family":"Pecinka","given":"Ales"},{"family":"Korff","given":"Maria","non-dropping-particle":"von"}],"issued":{"date-parts":[["2017",1,1]]}}}],"schema":"https://github.com/citation-style-language/schema/raw/master/csl-citation.json"} </w:instrText>
            </w:r>
            <w:r w:rsidRPr="001C3802">
              <w:rPr>
                <w:rFonts w:ascii="Times New Roman" w:eastAsia="Arial" w:hAnsi="Times New Roman" w:cs="Times New Roman"/>
              </w:rPr>
              <w:fldChar w:fldCharType="separate"/>
            </w:r>
            <w:r w:rsidR="003B3687" w:rsidRPr="003B3687">
              <w:rPr>
                <w:rFonts w:ascii="Times New Roman" w:hAnsi="Times New Roman" w:cs="Times New Roman"/>
              </w:rPr>
              <w:t>(van Esse et al., 2017)</w:t>
            </w:r>
            <w:r w:rsidRPr="001C3802">
              <w:rPr>
                <w:rFonts w:ascii="Times New Roman" w:eastAsia="Arial" w:hAnsi="Times New Roman" w:cs="Times New Roman"/>
              </w:rPr>
              <w:fldChar w:fldCharType="end"/>
            </w:r>
          </w:p>
        </w:tc>
      </w:tr>
      <w:tr w:rsidR="001C3802" w:rsidRPr="001C3802" w:rsidTr="00221BDF">
        <w:trPr>
          <w:trHeight w:val="260"/>
          <w:jc w:val="center"/>
        </w:trPr>
        <w:tc>
          <w:tcPr>
            <w:tcW w:w="2336" w:type="dxa"/>
            <w:tcBorders>
              <w:left w:val="single" w:sz="4" w:space="0" w:color="auto"/>
              <w:right w:val="single" w:sz="4" w:space="0" w:color="auto"/>
            </w:tcBorders>
            <w:shd w:val="clear" w:color="auto" w:fill="auto"/>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HORVU2Hr1G092290</w:t>
            </w:r>
          </w:p>
        </w:tc>
        <w:tc>
          <w:tcPr>
            <w:tcW w:w="2681" w:type="dxa"/>
            <w:tcBorders>
              <w:left w:val="single" w:sz="4" w:space="0" w:color="auto"/>
              <w:right w:val="single" w:sz="4" w:space="0" w:color="auto"/>
            </w:tcBorders>
            <w:shd w:val="clear" w:color="auto" w:fill="auto"/>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i/>
              </w:rPr>
              <w:t xml:space="preserve">SIX-ROWED SPIKE 1 </w:t>
            </w:r>
            <w:r w:rsidRPr="001C3802">
              <w:rPr>
                <w:rFonts w:ascii="Times New Roman" w:eastAsia="Arial" w:hAnsi="Times New Roman" w:cs="Times New Roman"/>
              </w:rPr>
              <w:t>(</w:t>
            </w:r>
            <w:r w:rsidRPr="001C3802">
              <w:rPr>
                <w:rFonts w:ascii="Times New Roman" w:eastAsia="Arial" w:hAnsi="Times New Roman" w:cs="Times New Roman"/>
                <w:i/>
              </w:rPr>
              <w:t>VRS1</w:t>
            </w:r>
            <w:r w:rsidRPr="001C3802">
              <w:rPr>
                <w:rFonts w:ascii="Times New Roman" w:eastAsia="Arial" w:hAnsi="Times New Roman" w:cs="Times New Roman"/>
              </w:rPr>
              <w:t>)</w:t>
            </w:r>
          </w:p>
        </w:tc>
        <w:tc>
          <w:tcPr>
            <w:tcW w:w="3132" w:type="dxa"/>
            <w:tcBorders>
              <w:left w:val="single" w:sz="4" w:space="0" w:color="auto"/>
              <w:right w:val="single" w:sz="4" w:space="0" w:color="auto"/>
            </w:tcBorders>
            <w:shd w:val="clear" w:color="auto" w:fill="auto"/>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Homeodomain leucine zipper protein</w:t>
            </w:r>
          </w:p>
        </w:tc>
        <w:tc>
          <w:tcPr>
            <w:tcW w:w="448" w:type="dxa"/>
            <w:tcBorders>
              <w:left w:val="single" w:sz="4" w:space="0" w:color="auto"/>
              <w:right w:val="single" w:sz="4" w:space="0" w:color="auto"/>
            </w:tcBorders>
            <w:shd w:val="clear" w:color="auto" w:fill="auto"/>
            <w:vAlign w:val="center"/>
            <w:hideMark/>
          </w:tcPr>
          <w:p w:rsidR="001C3802" w:rsidRPr="001C3802" w:rsidRDefault="001C3802" w:rsidP="001C3802">
            <w:pPr>
              <w:spacing w:after="0" w:line="240" w:lineRule="auto"/>
              <w:jc w:val="center"/>
              <w:rPr>
                <w:rFonts w:ascii="Times New Roman" w:eastAsia="Arial" w:hAnsi="Times New Roman" w:cs="Times New Roman"/>
              </w:rPr>
            </w:pPr>
            <w:r w:rsidRPr="001C3802">
              <w:rPr>
                <w:rFonts w:ascii="Times New Roman" w:eastAsia="Arial" w:hAnsi="Times New Roman" w:cs="Times New Roman"/>
              </w:rPr>
              <w:t>2</w:t>
            </w:r>
          </w:p>
        </w:tc>
        <w:tc>
          <w:tcPr>
            <w:tcW w:w="1170" w:type="dxa"/>
            <w:tcBorders>
              <w:left w:val="single" w:sz="4" w:space="0" w:color="auto"/>
              <w:right w:val="single" w:sz="4" w:space="0" w:color="auto"/>
            </w:tcBorders>
            <w:shd w:val="clear" w:color="auto" w:fill="auto"/>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652031057</w:t>
            </w:r>
          </w:p>
        </w:tc>
        <w:tc>
          <w:tcPr>
            <w:tcW w:w="878" w:type="dxa"/>
            <w:tcBorders>
              <w:left w:val="single" w:sz="4" w:space="0" w:color="auto"/>
              <w:right w:val="single" w:sz="4" w:space="0" w:color="auto"/>
            </w:tcBorders>
            <w:shd w:val="clear" w:color="auto" w:fill="auto"/>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80.22</w:t>
            </w:r>
          </w:p>
        </w:tc>
        <w:tc>
          <w:tcPr>
            <w:tcW w:w="2220" w:type="dxa"/>
            <w:tcBorders>
              <w:left w:val="single" w:sz="4" w:space="0" w:color="auto"/>
              <w:right w:val="single" w:sz="4" w:space="0" w:color="auto"/>
            </w:tcBorders>
            <w:shd w:val="clear" w:color="auto" w:fill="auto"/>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fldChar w:fldCharType="begin"/>
            </w:r>
            <w:r w:rsidRPr="001C3802">
              <w:rPr>
                <w:rFonts w:ascii="Times New Roman" w:eastAsia="Arial" w:hAnsi="Times New Roman" w:cs="Times New Roman"/>
              </w:rPr>
              <w:instrText xml:space="preserve"> ADDIN ZOTERO_ITEM CSL_CITATION {"citationID":"3HtVaVMx","properties":{"formattedCitation":"(Komatsuda et al., 2007)","plainCitation":"(Komatsuda et al., 2007)","noteIndex":0},"citationItems":[{"id":2444,"uris":["http://zotero.org/groups/328762/items/GQFIXCKB"],"uri":["http://zotero.org/groups/328762/items/GQFIXCKB"],"itemData":{"id":2444,"type":"article-journal","title":"Six-rowed barley originated from a mutation in a homeodomain-leucine zipper I-class homeobox gene","container-title":"Proceedings of the National Academy of Sciences","page":"1424-1429","volume":"104","issue":"4","source":"www.pnas.org","abstract":"Increased seed production has been a common goal during the domestication of cereal crops, and early cultivators of barley (Hordeum vulgare ssp. vulgare) selected a phenotype with a six-rowed spike that stably produced three times the usual grain number. This improved yield established barley as a founder crop for the Near Eastern Neolithic civilization. The barley spike has one central and two lateral spikelets at each rachis node. The wild-type progenitor (H. vulgare ssp. spontaneum) has a two-rowed phenotype, with additional, strictly rudimentary, lateral rows; this natural adaptation is advantageous for seed dispersal after shattering. Until recently, the origin of the six-rowed phenotype remained unknown. In the present study, we isolated vrs1 (six-rowed spike 1), the gene responsible for the six-rowed spike in barley, by means of positional cloning. The wild-type Vrs1 allele (for two-rowed barley) encodes a transcription factor that includes a homeodomain with a closely linked leucine zipper motif. Expression of Vrs1 was strictly localized in the lateral-spikelet primordia of immature spikes, suggesting that the VRS1 protein suppresses development of the lateral rows. Loss of function of Vrs1 resulted in complete conversion of the rudimentary lateral spikelets in two-rowed barley into fully developed fertile spikelets in the six-rowed phenotype. Phylogenetic analysis demonstrated that the six-rowed phenotype originated repeatedly, at different times and in different regions, through independent mutations of Vrs1.","DOI":"10.1073/pnas.0608580104","ISSN":"0027-8424, 1091-6490","note":"PMID: 17220272","journalAbbreviation":"PNAS","language":"en","author":[{"family":"Komatsuda","given":"Takao"},{"family":"Pourkheirandish","given":"Mohammad"},{"family":"He","given":"Congfen"},{"family":"Azhaguvel","given":"Perumal"},{"family":"Kanamori","given":"Hiroyuki"},{"family":"Perovic","given":"Dragan"},{"family":"Stein","given":"Nils"},{"family":"Graner","given":"Andreas"},{"family":"Wicker","given":"Thomas"},{"family":"Tagiri","given":"Akemi"},{"family":"Lundqvist","given":"Udda"},{"family":"Fujimura","given":"Tatsuhito"},{"family":"Matsuoka","given":"Makoto"},{"family":"Matsumoto","given":"Takashi"},{"family":"Yano","given":"Masahiro"}],"issued":{"date-parts":[["2007",1,23]]}}}],"schema":"https://github.com/citation-style-language/schema/raw/master/csl-citation.json"} </w:instrText>
            </w:r>
            <w:r w:rsidRPr="001C3802">
              <w:rPr>
                <w:rFonts w:ascii="Times New Roman" w:eastAsia="Arial" w:hAnsi="Times New Roman" w:cs="Times New Roman"/>
              </w:rPr>
              <w:fldChar w:fldCharType="separate"/>
            </w:r>
            <w:r w:rsidR="003B3687" w:rsidRPr="003B3687">
              <w:rPr>
                <w:rFonts w:ascii="Times New Roman" w:hAnsi="Times New Roman" w:cs="Times New Roman"/>
              </w:rPr>
              <w:t>(Komatsuda et al., 2007)</w:t>
            </w:r>
            <w:r w:rsidRPr="001C3802">
              <w:rPr>
                <w:rFonts w:ascii="Times New Roman" w:eastAsia="Arial" w:hAnsi="Times New Roman" w:cs="Times New Roman"/>
              </w:rPr>
              <w:fldChar w:fldCharType="end"/>
            </w:r>
          </w:p>
        </w:tc>
      </w:tr>
      <w:tr w:rsidR="001C3802" w:rsidRPr="001C3802" w:rsidTr="00221BDF">
        <w:trPr>
          <w:trHeight w:val="260"/>
          <w:jc w:val="center"/>
        </w:trPr>
        <w:tc>
          <w:tcPr>
            <w:tcW w:w="2336" w:type="dxa"/>
            <w:tcBorders>
              <w:left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HORVU2Hr1G113880</w:t>
            </w:r>
          </w:p>
        </w:tc>
        <w:tc>
          <w:tcPr>
            <w:tcW w:w="2681" w:type="dxa"/>
            <w:tcBorders>
              <w:left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i/>
              </w:rPr>
              <w:t>ZEOCRITON</w:t>
            </w:r>
            <w:r w:rsidRPr="001C3802">
              <w:rPr>
                <w:rFonts w:ascii="Times New Roman" w:eastAsia="Arial" w:hAnsi="Times New Roman" w:cs="Times New Roman"/>
              </w:rPr>
              <w:t xml:space="preserve"> (</w:t>
            </w:r>
            <w:r w:rsidRPr="001C3802">
              <w:rPr>
                <w:rFonts w:ascii="Times New Roman" w:eastAsia="Arial" w:hAnsi="Times New Roman" w:cs="Times New Roman"/>
                <w:i/>
              </w:rPr>
              <w:t>ZEO</w:t>
            </w:r>
            <w:r w:rsidRPr="001C3802">
              <w:rPr>
                <w:rFonts w:ascii="Times New Roman" w:eastAsia="Arial" w:hAnsi="Times New Roman" w:cs="Times New Roman"/>
              </w:rPr>
              <w:t>)</w:t>
            </w:r>
          </w:p>
        </w:tc>
        <w:tc>
          <w:tcPr>
            <w:tcW w:w="3132" w:type="dxa"/>
            <w:tcBorders>
              <w:left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APETALA2-like ethylene-responsive element binding protein</w:t>
            </w:r>
          </w:p>
        </w:tc>
        <w:tc>
          <w:tcPr>
            <w:tcW w:w="448" w:type="dxa"/>
            <w:tcBorders>
              <w:left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jc w:val="center"/>
              <w:rPr>
                <w:rFonts w:ascii="Times New Roman" w:eastAsia="Arial" w:hAnsi="Times New Roman" w:cs="Times New Roman"/>
              </w:rPr>
            </w:pPr>
            <w:r w:rsidRPr="001C3802">
              <w:rPr>
                <w:rFonts w:ascii="Times New Roman" w:eastAsia="Arial" w:hAnsi="Times New Roman" w:cs="Times New Roman"/>
              </w:rPr>
              <w:t>2</w:t>
            </w:r>
          </w:p>
        </w:tc>
        <w:tc>
          <w:tcPr>
            <w:tcW w:w="1170" w:type="dxa"/>
            <w:tcBorders>
              <w:left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730026693</w:t>
            </w:r>
          </w:p>
        </w:tc>
        <w:tc>
          <w:tcPr>
            <w:tcW w:w="878" w:type="dxa"/>
            <w:tcBorders>
              <w:left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127.08</w:t>
            </w:r>
          </w:p>
        </w:tc>
        <w:tc>
          <w:tcPr>
            <w:tcW w:w="2220" w:type="dxa"/>
            <w:tcBorders>
              <w:left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fldChar w:fldCharType="begin"/>
            </w:r>
            <w:r w:rsidR="0054616F">
              <w:rPr>
                <w:rFonts w:ascii="Times New Roman" w:eastAsia="Arial" w:hAnsi="Times New Roman" w:cs="Times New Roman"/>
              </w:rPr>
              <w:instrText xml:space="preserve"> ADDIN ZOTERO_ITEM CSL_CITATION {"citationID":"Ii2kLr5r","properties":{"formattedCitation":"(Houston et al., 2013)","plainCitation":"(Houston et al., 2013)","noteIndex":0},"citationItems":[{"id":4833,"uris":["http://zotero.org/groups/328762/items/5EXABFYJ"],"uri":["http://zotero.org/groups/328762/items/5EXABFYJ"],"itemData":{"id":4833,"type":"article-journal","title":"Variation in the interaction between alleles of &lt;i&gt;HvAPETALA2&lt;/i&gt; and microRNA172 determines the density of grains on the barley inflorescence","container-title":"Proceedings of the National Academy of Sciences","page":"16675-16680","volume":"110","issue":"41","source":"PubMed Central","abstract":"We show that the characteristic variation in the density of grains observed along the inflorescence (spike) of modern cultivated barley (Hordeum vulgare) is the consequence of a perturbed interaction between a microRNA, miR172, and its corresponding binding site in the mRNA of an APELATA2 (AP2)-like transcription factor, HvAP2. Our data indicate that variation in the miR172-driven turnover of HvAP2 regulates the length of a developmental window that is required for elongation of the internodes along the axis of the spike, and this variation results in the striking differences in the size and shape of the barley inflorescence., Within the cereal grasses, variation in inflorescence architecture results in a conspicuous morphological diversity that in crop species influences the yield of cereal grains. Although significant progress has been made in identifying some of the genes underlying this variation in maize and rice, in the temperate cereals, a group that includes wheat, barley, and rye, only the dosage-dependent and highly pleiotropic Q locus in hexaploid wheat has been molecularly characterized. Here we show that the characteristic variation in the density of grains along the inflorescence, or spike, of modern cultivated barley (Hordeum vulgare) is largely the consequence of a perturbed interaction between microRNA172 and its corresponding binding site in the mRNA of an APELATA2 (AP2)-like transcription factor, HvAP2. We used genome-wide association and biparental mapping to identify HvAP2. By comparing inflorescence development and HvAP2 transcript abundance in an extreme dense-spike mutant and its nearly isogenic WT line, we show that HvAP2 turnover driven by microRNA 172 regulates the length of a critical developmental window that is required for elongation of the inflorescence internodes. Our data indicate that this heterochronic change, an altered timing of developmental events caused by specific temporal variation in the efficiency of HvAP2 turnover, leads to the striking differences in the size and shape of the barley spike.","DOI":"10.1073/pnas.1311681110","ISSN":"0027-8424","note":"PMID: 24065816\nPMCID: PMC3799380","journalAbbreviation":"Proc Natl Acad Sci","author":[{"family":"Houston","given":"Kelly"},{"family":"McKim","given":"Sarah M."},{"family":"Comadran","given":"Jordi"},{"family":"Bonar","given":"Nicola"},{"family":"Druka","given":"Ilze"},{"family":"Uzrek","given":"Nicola"},{"family":"Cirillo","given":"Elisa"},{"family":"Guzy-Wrobelska","given":"Justyna"},{"family":"Collins","given":"Nicholas C."},{"family":"Halpin","given":"Claire"},{"family":"Hansson","given":"Mats"},{"family":"Dockter","given":"Christoph"},{"family":"Druka","given":"Arnis"},{"family":"Waugh","given":"Robbie"}],"issued":{"date-parts":[["2013",10,8]]}}}],"schema":"https://github.com/citation-style-language/schema/raw/master/csl-citation.json"} </w:instrText>
            </w:r>
            <w:r w:rsidRPr="001C3802">
              <w:rPr>
                <w:rFonts w:ascii="Times New Roman" w:eastAsia="Arial" w:hAnsi="Times New Roman" w:cs="Times New Roman"/>
              </w:rPr>
              <w:fldChar w:fldCharType="separate"/>
            </w:r>
            <w:r w:rsidR="003B3687" w:rsidRPr="003B3687">
              <w:rPr>
                <w:rFonts w:ascii="Times New Roman" w:hAnsi="Times New Roman" w:cs="Times New Roman"/>
              </w:rPr>
              <w:t>(Houston et al., 2013)</w:t>
            </w:r>
            <w:r w:rsidRPr="001C3802">
              <w:rPr>
                <w:rFonts w:ascii="Times New Roman" w:eastAsia="Arial" w:hAnsi="Times New Roman" w:cs="Times New Roman"/>
              </w:rPr>
              <w:fldChar w:fldCharType="end"/>
            </w:r>
          </w:p>
        </w:tc>
      </w:tr>
      <w:tr w:rsidR="001C3802" w:rsidRPr="001C3802" w:rsidTr="00221BDF">
        <w:trPr>
          <w:trHeight w:val="520"/>
          <w:jc w:val="center"/>
        </w:trPr>
        <w:tc>
          <w:tcPr>
            <w:tcW w:w="2336" w:type="dxa"/>
            <w:tcBorders>
              <w:left w:val="single" w:sz="4" w:space="0" w:color="auto"/>
              <w:right w:val="single" w:sz="4" w:space="0" w:color="auto"/>
            </w:tcBorders>
            <w:shd w:val="clear" w:color="auto" w:fill="auto"/>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HORVU3Hr1G016690</w:t>
            </w:r>
          </w:p>
        </w:tc>
        <w:tc>
          <w:tcPr>
            <w:tcW w:w="2681" w:type="dxa"/>
            <w:tcBorders>
              <w:left w:val="single" w:sz="4" w:space="0" w:color="auto"/>
              <w:right w:val="single" w:sz="4" w:space="0" w:color="auto"/>
            </w:tcBorders>
            <w:shd w:val="clear" w:color="auto" w:fill="auto"/>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i/>
              </w:rPr>
              <w:t xml:space="preserve">SIX-ROWED SPIKE 4 </w:t>
            </w:r>
            <w:r w:rsidRPr="001C3802">
              <w:rPr>
                <w:rFonts w:ascii="Times New Roman" w:eastAsia="Arial" w:hAnsi="Times New Roman" w:cs="Times New Roman"/>
              </w:rPr>
              <w:t>(</w:t>
            </w:r>
            <w:r w:rsidRPr="001C3802">
              <w:rPr>
                <w:rFonts w:ascii="Times New Roman" w:eastAsia="Arial" w:hAnsi="Times New Roman" w:cs="Times New Roman"/>
                <w:i/>
              </w:rPr>
              <w:t>VRS4</w:t>
            </w:r>
            <w:r w:rsidRPr="001C3802">
              <w:rPr>
                <w:rFonts w:ascii="Times New Roman" w:eastAsia="Arial" w:hAnsi="Times New Roman" w:cs="Times New Roman"/>
              </w:rPr>
              <w:t>)</w:t>
            </w:r>
          </w:p>
        </w:tc>
        <w:tc>
          <w:tcPr>
            <w:tcW w:w="3132" w:type="dxa"/>
            <w:tcBorders>
              <w:left w:val="single" w:sz="4" w:space="0" w:color="auto"/>
              <w:right w:val="single" w:sz="4" w:space="0" w:color="auto"/>
            </w:tcBorders>
            <w:shd w:val="clear" w:color="auto" w:fill="auto"/>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RAMOSA2-like lateral organ boundary (LOB) domain protein</w:t>
            </w:r>
          </w:p>
        </w:tc>
        <w:tc>
          <w:tcPr>
            <w:tcW w:w="448" w:type="dxa"/>
            <w:tcBorders>
              <w:left w:val="single" w:sz="4" w:space="0" w:color="auto"/>
              <w:right w:val="single" w:sz="4" w:space="0" w:color="auto"/>
            </w:tcBorders>
            <w:shd w:val="clear" w:color="auto" w:fill="auto"/>
            <w:vAlign w:val="center"/>
            <w:hideMark/>
          </w:tcPr>
          <w:p w:rsidR="001C3802" w:rsidRPr="001C3802" w:rsidRDefault="001C3802" w:rsidP="001C3802">
            <w:pPr>
              <w:spacing w:after="0" w:line="240" w:lineRule="auto"/>
              <w:jc w:val="center"/>
              <w:rPr>
                <w:rFonts w:ascii="Times New Roman" w:eastAsia="Arial" w:hAnsi="Times New Roman" w:cs="Times New Roman"/>
              </w:rPr>
            </w:pPr>
            <w:r w:rsidRPr="001C3802">
              <w:rPr>
                <w:rFonts w:ascii="Times New Roman" w:eastAsia="Arial" w:hAnsi="Times New Roman" w:cs="Times New Roman"/>
              </w:rPr>
              <w:t>3</w:t>
            </w:r>
          </w:p>
        </w:tc>
        <w:tc>
          <w:tcPr>
            <w:tcW w:w="1170" w:type="dxa"/>
            <w:tcBorders>
              <w:left w:val="single" w:sz="4" w:space="0" w:color="auto"/>
              <w:right w:val="single" w:sz="4" w:space="0" w:color="auto"/>
            </w:tcBorders>
            <w:shd w:val="clear" w:color="auto" w:fill="auto"/>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40939171</w:t>
            </w:r>
          </w:p>
        </w:tc>
        <w:tc>
          <w:tcPr>
            <w:tcW w:w="878" w:type="dxa"/>
            <w:tcBorders>
              <w:left w:val="single" w:sz="4" w:space="0" w:color="auto"/>
              <w:right w:val="single" w:sz="4" w:space="0" w:color="auto"/>
            </w:tcBorders>
            <w:shd w:val="clear" w:color="auto" w:fill="auto"/>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41.71</w:t>
            </w:r>
          </w:p>
        </w:tc>
        <w:tc>
          <w:tcPr>
            <w:tcW w:w="2220" w:type="dxa"/>
            <w:tcBorders>
              <w:left w:val="single" w:sz="4" w:space="0" w:color="auto"/>
              <w:right w:val="single" w:sz="4" w:space="0" w:color="auto"/>
            </w:tcBorders>
            <w:shd w:val="clear" w:color="auto" w:fill="auto"/>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fldChar w:fldCharType="begin"/>
            </w:r>
            <w:r w:rsidR="003B3687">
              <w:rPr>
                <w:rFonts w:ascii="Times New Roman" w:eastAsia="Arial" w:hAnsi="Times New Roman" w:cs="Times New Roman"/>
              </w:rPr>
              <w:instrText xml:space="preserve"> ADDIN ZOTERO_ITEM CSL_CITATION {"citationID":"uC4r7c9M","properties":{"formattedCitation":"(Koppolu et al., 2013)","plainCitation":"(Koppolu et al., 2013)","noteIndex":0},"citationItems":[{"id":2448,"uris":["http://zotero.org/groups/328762/items/HVB32MPS"],"uri":["http://zotero.org/groups/328762/items/HVB32MPS"],"itemData":{"id":2448,"type":"article-journal","title":"&lt;i&gt;Six-rowed spike4&lt;/i&gt; (&lt;i&gt;Vrs4&lt;/i&gt;) controls spikelet determinacy and row-type in barley","container-title":"Proceedings of the National Academy of Sciences","page":"13198-13203","volume":"110","issue":"32","source":"PubMed Central","abstract":"Inflorescence architecture of barley (Hordeum vulgare L.) is common among the Triticeae species, which bear one to three single-flowered spikelets at each rachis internode. Triple spikelet meristem is one of the unique features of barley spikes, in which three spikelets (one central and two lateral spikelets) are produced at each rachis internode. Fertility of the lateral spikelets at triple spikelet meristem gives row-type identity to barley spikes. Six-rowed spikes show fertile lateral spikelets and produce increased grain yield per spike, compared with two-rowed spikes with sterile lateral spikelets. Thus, far, two loci governing the row-type phenotype were isolated in barley that include Six-rowed spike1 (Vrs1) and Intermedium-C. In the present study, we isolated Six-rowed spike4 (Vrs4), a barley ortholog of the maize (Zea mays L.) inflorescence architecture gene RAMOSA2 (RA2). Eighteen coding mutations in barley RA2 (HvRA2) were specifically associated with lateral spikelet fertility and loss of spikelet determinacy. Expression analyses through mRNA in situ hybridization and microarray showed that Vrs4 (HvRA2) controls the row-type pathway through Vrs1 (HvHox1), a negative regulator of lateral spikelet fertility in barley. Moreover, Vrs4 may also regulate transcripts of barley SISTER OF RAMOSA3 (HvSRA), a putative trehalose-6-phosphate phosphatase involved in trehalose-6-phosphate homeostasis implicated to control spikelet determinacy. Our expression data illustrated that, although RA2 is conserved among different grass species, its down-stream target genes appear to be modified in barley and possibly other species of tribe Triticeae.","DOI":"10.1073/pnas.1221950110","ISSN":"0027-8424","note":"PMID: 23878219\nPMCID: PMC3740847","journalAbbreviation":"Proc Natl Acad Sci U S A","author":[{"family":"Koppolu","given":"Ravi"},{"family":"Anwar","given":"Nadia"},{"family":"Sakuma","given":"Shun"},{"family":"Tagiri","given":"Akemi"},{"family":"Lundqvist","given":"Udda"},{"family":"Pourkheirandish","given":"Mohammad"},{"family":"Rutten","given":"Twan"},{"family":"Seiler","given":"Christiane"},{"family":"Himmelbach","given":"Axel"},{"family":"Ariyadasa","given":"Ruvini"},{"family":"Youssef","given":"Helmy Mohamad"},{"family":"Stein","given":"Nils"},{"family":"Sreenivasulu","given":"Nese"},{"family":"Komatsuda","given":"Takao"},{"family":"Schnurbusch","given":"Thorsten"}],"issued":{"date-parts":[["2013",8,6]]}}}],"schema":"https://github.com/citation-style-language/schema/raw/master/csl-citation.json"} </w:instrText>
            </w:r>
            <w:r w:rsidRPr="001C3802">
              <w:rPr>
                <w:rFonts w:ascii="Times New Roman" w:eastAsia="Arial" w:hAnsi="Times New Roman" w:cs="Times New Roman"/>
              </w:rPr>
              <w:fldChar w:fldCharType="separate"/>
            </w:r>
            <w:r w:rsidR="003B3687" w:rsidRPr="003B3687">
              <w:rPr>
                <w:rFonts w:ascii="Times New Roman" w:hAnsi="Times New Roman" w:cs="Times New Roman"/>
              </w:rPr>
              <w:t>(Koppolu et al., 2013)</w:t>
            </w:r>
            <w:r w:rsidRPr="001C3802">
              <w:rPr>
                <w:rFonts w:ascii="Times New Roman" w:eastAsia="Arial" w:hAnsi="Times New Roman" w:cs="Times New Roman"/>
              </w:rPr>
              <w:fldChar w:fldCharType="end"/>
            </w:r>
          </w:p>
        </w:tc>
      </w:tr>
      <w:tr w:rsidR="001C3802" w:rsidRPr="001C3802" w:rsidTr="00221BDF">
        <w:trPr>
          <w:trHeight w:val="520"/>
          <w:jc w:val="center"/>
        </w:trPr>
        <w:tc>
          <w:tcPr>
            <w:tcW w:w="2336" w:type="dxa"/>
            <w:tcBorders>
              <w:left w:val="single" w:sz="4" w:space="0" w:color="auto"/>
              <w:right w:val="single" w:sz="4" w:space="0" w:color="auto"/>
            </w:tcBorders>
            <w:shd w:val="clear" w:color="000000" w:fill="E8E8E8"/>
            <w:vAlign w:val="center"/>
            <w:hideMark/>
          </w:tcPr>
          <w:p w:rsidR="001C3802" w:rsidRPr="001C3802" w:rsidRDefault="001C3802" w:rsidP="00C16B01">
            <w:pPr>
              <w:spacing w:after="0" w:line="240" w:lineRule="auto"/>
              <w:rPr>
                <w:rFonts w:ascii="Times New Roman" w:eastAsia="Arial" w:hAnsi="Times New Roman" w:cs="Times New Roman"/>
              </w:rPr>
            </w:pPr>
            <w:r w:rsidRPr="001C3802">
              <w:rPr>
                <w:rFonts w:ascii="Times New Roman" w:eastAsia="Arial" w:hAnsi="Times New Roman" w:cs="Times New Roman"/>
              </w:rPr>
              <w:t>MLOC_61451.6</w:t>
            </w:r>
            <w:r w:rsidR="00C16B01" w:rsidRPr="00C16B01">
              <w:rPr>
                <w:rFonts w:ascii="Times New Roman" w:eastAsia="Arial" w:hAnsi="Times New Roman" w:cs="Times New Roman"/>
                <w:i/>
                <w:vertAlign w:val="superscript"/>
              </w:rPr>
              <w:t>c</w:t>
            </w:r>
          </w:p>
        </w:tc>
        <w:tc>
          <w:tcPr>
            <w:tcW w:w="2681" w:type="dxa"/>
            <w:tcBorders>
              <w:left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i/>
              </w:rPr>
              <w:t>laxatum-a</w:t>
            </w:r>
            <w:r w:rsidRPr="001C3802">
              <w:rPr>
                <w:rFonts w:ascii="Times New Roman" w:eastAsia="Arial" w:hAnsi="Times New Roman" w:cs="Times New Roman"/>
              </w:rPr>
              <w:t xml:space="preserve"> (</w:t>
            </w:r>
            <w:r w:rsidRPr="001C3802">
              <w:rPr>
                <w:rFonts w:ascii="Times New Roman" w:eastAsia="Arial" w:hAnsi="Times New Roman" w:cs="Times New Roman"/>
                <w:i/>
              </w:rPr>
              <w:t>lax-a</w:t>
            </w:r>
            <w:r w:rsidRPr="001C3802">
              <w:rPr>
                <w:rFonts w:ascii="Times New Roman" w:eastAsia="Arial" w:hAnsi="Times New Roman" w:cs="Times New Roman"/>
              </w:rPr>
              <w:t>)</w:t>
            </w:r>
          </w:p>
        </w:tc>
        <w:tc>
          <w:tcPr>
            <w:tcW w:w="3132" w:type="dxa"/>
            <w:tcBorders>
              <w:left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BOP1/2-like BTB-ankyrin repeat containing protein</w:t>
            </w:r>
          </w:p>
        </w:tc>
        <w:tc>
          <w:tcPr>
            <w:tcW w:w="448" w:type="dxa"/>
            <w:tcBorders>
              <w:left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jc w:val="center"/>
              <w:rPr>
                <w:rFonts w:ascii="Times New Roman" w:eastAsia="Arial" w:hAnsi="Times New Roman" w:cs="Times New Roman"/>
              </w:rPr>
            </w:pPr>
            <w:r w:rsidRPr="001C3802">
              <w:rPr>
                <w:rFonts w:ascii="Times New Roman" w:eastAsia="Arial" w:hAnsi="Times New Roman" w:cs="Times New Roman"/>
              </w:rPr>
              <w:t>5</w:t>
            </w:r>
          </w:p>
        </w:tc>
        <w:tc>
          <w:tcPr>
            <w:tcW w:w="1170" w:type="dxa"/>
            <w:tcBorders>
              <w:left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332395826</w:t>
            </w:r>
          </w:p>
        </w:tc>
        <w:tc>
          <w:tcPr>
            <w:tcW w:w="878" w:type="dxa"/>
            <w:tcBorders>
              <w:left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44.09</w:t>
            </w:r>
          </w:p>
        </w:tc>
        <w:tc>
          <w:tcPr>
            <w:tcW w:w="2220" w:type="dxa"/>
            <w:tcBorders>
              <w:left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fldChar w:fldCharType="begin"/>
            </w:r>
            <w:r>
              <w:rPr>
                <w:rFonts w:ascii="Times New Roman" w:eastAsia="Arial" w:hAnsi="Times New Roman" w:cs="Times New Roman"/>
              </w:rPr>
              <w:instrText xml:space="preserve"> ADDIN ZOTERO_ITEM CSL_CITATION {"citationID":"FCTp4rYg","properties":{"formattedCitation":"(Jost et al., 2016)","plainCitation":"(Jost et al., 2016)","noteIndex":0},"citationItems":[{"id":5739,"uris":["http://zotero.org/groups/328762/items/AJUTQ8LB"],"uri":["http://zotero.org/groups/328762/items/AJUTQ8LB"],"itemData":{"id":5739,"type":"article-journal","title":"A Homolog of Blade-On-Petiole 1 and 2 (BOP1/2) Controls Internode Length and Homeotic Changes of the Barley Inflorescence","container-title":"Plant Physiology","page":"1113-1127","volume":"171","issue":"2","source":"PubMed Central","abstract":"Homeotic changes in the barley inflorescence are caused by loss of function of a gene homologous to known transcriptional regulators that set organ boundaries of Arabidopsis thaliana., Inflorescence architecture in small-grain cereals has a direct effect on yield and is an important selection target in breeding for yield improvement. We analyzed the recessive mutation laxatum-a (lax-a) in barley (Hordeum vulgare), which causes pleiotropic changes in spike development, resulting in (1) extended rachis internodes conferring a more relaxed inflorescence, (2) broadened base of the lemma awns, (3) thinner grains that are largely exposed due to reduced marginal growth of the palea and lemma, and (4) and homeotic conversion of lodicules into two stamenoid structures. Map-based cloning enforced by mapping-by-sequencing of the mutant lax-a locus enabled the identification of a homolog of BLADE-ON-PETIOLE1 (BOP1) and BOP2 as the causal gene. Interestingly, the recently identified barley uniculme4 gene also is a BOP1/2 homolog and has been shown to regulate tillering and leaf sheath development. While the Arabidopsis (Arabidopsis thaliana) BOP1 and BOP2 genes act redundantly, the barley genes contribute independent effects in specifying the developmental growth of vegetative and reproductive organs, respectively. Analysis of natural genetic diversity revealed strikingly different haplotype diversity for the two paralogous barley genes, likely affected by the respective genomic environments, since no indication for an active selection process was detected.","DOI":"10.1104/pp.16.00124","ISSN":"0032-0889","note":"PMID: 27208226\nPMCID: PMC4902598","journalAbbreviation":"Plant Physiol","author":[{"family":"Jost","given":"Matthias"},{"family":"Taketa","given":"Shin"},{"family":"Mascher","given":"Martin"},{"family":"Himmelbach","given":"Axel"},{"family":"Yuo","given":"Takahisa"},{"family":"Shahinnia","given":"Fahimeh"},{"family":"Rutten","given":"Twan"},{"family":"Druka","given":"Arnis"},{"family":"Schmutzer","given":"Thomas"},{"family":"Steuernagel","given":"Burkhard"},{"family":"Beier","given":"Sebastian"},{"family":"Taudien","given":"Stefan"},{"family":"Scholz","given":"Uwe"},{"family":"Morgante","given":"Michele"},{"family":"Waugh","given":"Robbie"},{"family":"Stein","given":"Nils"}],"issued":{"date-parts":[["2016",6]]}}}],"schema":"https://github.com/citation-style-language/schema/raw/master/csl-citation.json"} </w:instrText>
            </w:r>
            <w:r w:rsidRPr="001C3802">
              <w:rPr>
                <w:rFonts w:ascii="Times New Roman" w:eastAsia="Arial" w:hAnsi="Times New Roman" w:cs="Times New Roman"/>
              </w:rPr>
              <w:fldChar w:fldCharType="separate"/>
            </w:r>
            <w:r w:rsidR="003B3687" w:rsidRPr="003B3687">
              <w:rPr>
                <w:rFonts w:ascii="Times New Roman" w:hAnsi="Times New Roman" w:cs="Times New Roman"/>
              </w:rPr>
              <w:t>(Jost et al., 2016)</w:t>
            </w:r>
            <w:r w:rsidRPr="001C3802">
              <w:rPr>
                <w:rFonts w:ascii="Times New Roman" w:eastAsia="Arial" w:hAnsi="Times New Roman" w:cs="Times New Roman"/>
              </w:rPr>
              <w:fldChar w:fldCharType="end"/>
            </w:r>
          </w:p>
        </w:tc>
      </w:tr>
      <w:tr w:rsidR="001C3802" w:rsidRPr="001C3802" w:rsidTr="00221BDF">
        <w:trPr>
          <w:trHeight w:val="780"/>
          <w:jc w:val="center"/>
        </w:trPr>
        <w:tc>
          <w:tcPr>
            <w:tcW w:w="2336" w:type="dxa"/>
            <w:tcBorders>
              <w:left w:val="single" w:sz="4" w:space="0" w:color="auto"/>
              <w:right w:val="single" w:sz="4" w:space="0" w:color="auto"/>
            </w:tcBorders>
            <w:shd w:val="clear" w:color="000000" w:fill="FFFFFF"/>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HORVU5Hr1G061840</w:t>
            </w:r>
          </w:p>
        </w:tc>
        <w:tc>
          <w:tcPr>
            <w:tcW w:w="2681" w:type="dxa"/>
            <w:tcBorders>
              <w:left w:val="single" w:sz="4" w:space="0" w:color="auto"/>
              <w:right w:val="single" w:sz="4" w:space="0" w:color="auto"/>
            </w:tcBorders>
            <w:shd w:val="clear" w:color="000000" w:fill="FFFFFF"/>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i/>
              </w:rPr>
              <w:t>DENSE AND ERECT PANICLE 1</w:t>
            </w:r>
            <w:r w:rsidRPr="001C3802">
              <w:rPr>
                <w:rFonts w:ascii="Times New Roman" w:eastAsia="Arial" w:hAnsi="Times New Roman" w:cs="Times New Roman"/>
              </w:rPr>
              <w:t xml:space="preserve"> (</w:t>
            </w:r>
            <w:r w:rsidRPr="001C3802">
              <w:rPr>
                <w:rFonts w:ascii="Times New Roman" w:eastAsia="Arial" w:hAnsi="Times New Roman" w:cs="Times New Roman"/>
                <w:i/>
              </w:rPr>
              <w:t>DEP1</w:t>
            </w:r>
            <w:r w:rsidRPr="001C3802">
              <w:rPr>
                <w:rFonts w:ascii="Times New Roman" w:eastAsia="Arial" w:hAnsi="Times New Roman" w:cs="Times New Roman"/>
              </w:rPr>
              <w:t>)/</w:t>
            </w:r>
            <w:r w:rsidRPr="001C3802">
              <w:rPr>
                <w:rFonts w:ascii="Times New Roman" w:eastAsia="Arial" w:hAnsi="Times New Roman" w:cs="Times New Roman"/>
              </w:rPr>
              <w:br/>
            </w:r>
            <w:r w:rsidRPr="001C3802">
              <w:rPr>
                <w:rFonts w:ascii="Times New Roman" w:eastAsia="Arial" w:hAnsi="Times New Roman" w:cs="Times New Roman"/>
                <w:i/>
              </w:rPr>
              <w:t>Breviaristatum-e</w:t>
            </w:r>
            <w:r w:rsidRPr="001C3802">
              <w:rPr>
                <w:rFonts w:ascii="Times New Roman" w:eastAsia="Arial" w:hAnsi="Times New Roman" w:cs="Times New Roman"/>
              </w:rPr>
              <w:t xml:space="preserve"> (</w:t>
            </w:r>
            <w:r w:rsidRPr="001C3802">
              <w:rPr>
                <w:rFonts w:ascii="Times New Roman" w:eastAsia="Arial" w:hAnsi="Times New Roman" w:cs="Times New Roman"/>
                <w:i/>
              </w:rPr>
              <w:t>ari-e</w:t>
            </w:r>
            <w:r w:rsidRPr="001C3802">
              <w:rPr>
                <w:rFonts w:ascii="Times New Roman" w:eastAsia="Arial" w:hAnsi="Times New Roman" w:cs="Times New Roman"/>
              </w:rPr>
              <w:t>)</w:t>
            </w:r>
          </w:p>
        </w:tc>
        <w:tc>
          <w:tcPr>
            <w:tcW w:w="3132" w:type="dxa"/>
            <w:tcBorders>
              <w:left w:val="single" w:sz="4" w:space="0" w:color="auto"/>
              <w:right w:val="single" w:sz="4" w:space="0" w:color="auto"/>
            </w:tcBorders>
            <w:shd w:val="clear" w:color="000000" w:fill="FFFFFF"/>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DEP1/ari-e</w:t>
            </w:r>
          </w:p>
        </w:tc>
        <w:tc>
          <w:tcPr>
            <w:tcW w:w="448" w:type="dxa"/>
            <w:tcBorders>
              <w:left w:val="single" w:sz="4" w:space="0" w:color="auto"/>
              <w:right w:val="single" w:sz="4" w:space="0" w:color="auto"/>
            </w:tcBorders>
            <w:shd w:val="clear" w:color="000000" w:fill="FFFFFF"/>
            <w:vAlign w:val="center"/>
            <w:hideMark/>
          </w:tcPr>
          <w:p w:rsidR="001C3802" w:rsidRPr="001C3802" w:rsidRDefault="001C3802" w:rsidP="001C3802">
            <w:pPr>
              <w:spacing w:after="0" w:line="240" w:lineRule="auto"/>
              <w:jc w:val="center"/>
              <w:rPr>
                <w:rFonts w:ascii="Times New Roman" w:eastAsia="Arial" w:hAnsi="Times New Roman" w:cs="Times New Roman"/>
              </w:rPr>
            </w:pPr>
            <w:r w:rsidRPr="001C3802">
              <w:rPr>
                <w:rFonts w:ascii="Times New Roman" w:eastAsia="Arial" w:hAnsi="Times New Roman" w:cs="Times New Roman"/>
              </w:rPr>
              <w:t>5</w:t>
            </w:r>
          </w:p>
        </w:tc>
        <w:tc>
          <w:tcPr>
            <w:tcW w:w="1170" w:type="dxa"/>
            <w:tcBorders>
              <w:left w:val="single" w:sz="4" w:space="0" w:color="auto"/>
              <w:right w:val="single" w:sz="4" w:space="0" w:color="auto"/>
            </w:tcBorders>
            <w:shd w:val="clear" w:color="000000" w:fill="FFFFFF"/>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482214542</w:t>
            </w:r>
          </w:p>
        </w:tc>
        <w:tc>
          <w:tcPr>
            <w:tcW w:w="878" w:type="dxa"/>
            <w:tcBorders>
              <w:left w:val="single" w:sz="4" w:space="0" w:color="auto"/>
              <w:right w:val="single" w:sz="4" w:space="0" w:color="auto"/>
            </w:tcBorders>
            <w:shd w:val="clear" w:color="000000" w:fill="FFFFFF"/>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53.36</w:t>
            </w:r>
          </w:p>
        </w:tc>
        <w:tc>
          <w:tcPr>
            <w:tcW w:w="2220" w:type="dxa"/>
            <w:tcBorders>
              <w:left w:val="single" w:sz="4" w:space="0" w:color="auto"/>
              <w:right w:val="single" w:sz="4" w:space="0" w:color="auto"/>
            </w:tcBorders>
            <w:shd w:val="clear" w:color="000000" w:fill="FFFFFF"/>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fldChar w:fldCharType="begin"/>
            </w:r>
            <w:r w:rsidRPr="001C3802">
              <w:rPr>
                <w:rFonts w:ascii="Times New Roman" w:eastAsia="Arial" w:hAnsi="Times New Roman" w:cs="Times New Roman"/>
              </w:rPr>
              <w:instrText xml:space="preserve"> ADDIN ZOTERO_ITEM CSL_CITATION {"citationID":"sULRuHjF","properties":{"formattedCitation":"(Huang et al., 2009)","plainCitation":"(Huang et al., 2009)","noteIndex":0},"citationItems":[{"id":965,"uris":["http://zotero.org/groups/328762/items/XZ94EWT4"],"uri":["http://zotero.org/groups/328762/items/XZ94EWT4"],"itemData":{"id":965,"type":"article-journal","title":"Natural variation at the &lt;i&gt;DEP1&lt;/i&gt; locus enhances grain yield in rice.","container-title":"Nature genetics","page":"494-7","volume":"41","issue":"4","abstract":"Grain yield is controlled by quantitative trait loci (QTLs) derived from natural variations in many crop plants. Here we report the molecular characterization of a major rice grain yield QTL that acts through the determination of panicle architecture. The dominant allele at the DEP1 locus is a gain-of-function mutation causing truncation of a phosphatidylethanolamine-binding protein-like domain protein. The effect of this allele is to enhance meristematic activity, resulting in a reduced length of the inflorescence internode, an increased number of grains per panicle and a consequent increase in grain yield. This allele is common to many Chinese high-yielding rice varieties and likely represents a relatively recent introduction into the cultivated rice gene pool. We also show that a functionally equivalent allele is present in the temperate cereals and seems to have arisen before the divergence of the wheat and barley lineages.","DOI":"10.1038/ng.352","author":[{"family":"Huang","given":"Xianzhong"},{"family":"Qian","given":"Qian"},{"family":"Liu","given":"Zhengbin"},{"family":"Sun","given":"Hongying"},{"family":"He","given":"Shuyuan"},{"family":"Luo","given":"Da"},{"family":"Xia","given":"Guangmin"},{"family":"Chu","given":"Chengcai"},{"family":"Li","given":"Jiayang"},{"family":"Fu","given":"Xiangdong"}],"issued":{"date-parts":[["2009",4]]}}}],"schema":"https://github.com/citation-style-language/schema/raw/master/csl-citation.json"} </w:instrText>
            </w:r>
            <w:r w:rsidRPr="001C3802">
              <w:rPr>
                <w:rFonts w:ascii="Times New Roman" w:eastAsia="Arial" w:hAnsi="Times New Roman" w:cs="Times New Roman"/>
              </w:rPr>
              <w:fldChar w:fldCharType="separate"/>
            </w:r>
            <w:r w:rsidR="003B3687" w:rsidRPr="003B3687">
              <w:rPr>
                <w:rFonts w:ascii="Times New Roman" w:hAnsi="Times New Roman" w:cs="Times New Roman"/>
              </w:rPr>
              <w:t>(Huang et al., 2009)</w:t>
            </w:r>
            <w:r w:rsidRPr="001C3802">
              <w:rPr>
                <w:rFonts w:ascii="Times New Roman" w:eastAsia="Arial" w:hAnsi="Times New Roman" w:cs="Times New Roman"/>
              </w:rPr>
              <w:fldChar w:fldCharType="end"/>
            </w:r>
          </w:p>
        </w:tc>
      </w:tr>
      <w:tr w:rsidR="001C3802" w:rsidRPr="001C3802" w:rsidTr="00221BDF">
        <w:trPr>
          <w:trHeight w:val="520"/>
          <w:jc w:val="center"/>
        </w:trPr>
        <w:tc>
          <w:tcPr>
            <w:tcW w:w="2336" w:type="dxa"/>
            <w:tcBorders>
              <w:left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NA</w:t>
            </w:r>
          </w:p>
        </w:tc>
        <w:tc>
          <w:tcPr>
            <w:tcW w:w="2681" w:type="dxa"/>
            <w:tcBorders>
              <w:left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i/>
              </w:rPr>
              <w:t>intermedium-b</w:t>
            </w:r>
            <w:r w:rsidRPr="001C3802">
              <w:rPr>
                <w:rFonts w:ascii="Times New Roman" w:eastAsia="Arial" w:hAnsi="Times New Roman" w:cs="Times New Roman"/>
              </w:rPr>
              <w:t xml:space="preserve"> (</w:t>
            </w:r>
            <w:r w:rsidRPr="001C3802">
              <w:rPr>
                <w:rFonts w:ascii="Times New Roman" w:eastAsia="Arial" w:hAnsi="Times New Roman" w:cs="Times New Roman"/>
                <w:i/>
              </w:rPr>
              <w:t>int-b</w:t>
            </w:r>
            <w:r w:rsidRPr="001C3802">
              <w:rPr>
                <w:rFonts w:ascii="Times New Roman" w:eastAsia="Arial" w:hAnsi="Times New Roman" w:cs="Times New Roman"/>
              </w:rPr>
              <w:t>)</w:t>
            </w:r>
          </w:p>
        </w:tc>
        <w:tc>
          <w:tcPr>
            <w:tcW w:w="3132" w:type="dxa"/>
            <w:tcBorders>
              <w:left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NA</w:t>
            </w:r>
          </w:p>
        </w:tc>
        <w:tc>
          <w:tcPr>
            <w:tcW w:w="448" w:type="dxa"/>
            <w:tcBorders>
              <w:left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jc w:val="center"/>
              <w:rPr>
                <w:rFonts w:ascii="Times New Roman" w:eastAsia="Arial" w:hAnsi="Times New Roman" w:cs="Times New Roman"/>
              </w:rPr>
            </w:pPr>
            <w:r w:rsidRPr="001C3802">
              <w:rPr>
                <w:rFonts w:ascii="Times New Roman" w:eastAsia="Arial" w:hAnsi="Times New Roman" w:cs="Times New Roman"/>
              </w:rPr>
              <w:t>5</w:t>
            </w:r>
          </w:p>
        </w:tc>
        <w:tc>
          <w:tcPr>
            <w:tcW w:w="1170" w:type="dxa"/>
            <w:tcBorders>
              <w:left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556603279</w:t>
            </w:r>
          </w:p>
        </w:tc>
        <w:tc>
          <w:tcPr>
            <w:tcW w:w="878" w:type="dxa"/>
            <w:tcBorders>
              <w:left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91-</w:t>
            </w:r>
            <w:r w:rsidRPr="001C3802">
              <w:rPr>
                <w:rFonts w:ascii="Times New Roman" w:eastAsia="Arial" w:hAnsi="Times New Roman" w:cs="Times New Roman"/>
              </w:rPr>
              <w:br/>
              <w:t>139.11</w:t>
            </w:r>
          </w:p>
        </w:tc>
        <w:tc>
          <w:tcPr>
            <w:tcW w:w="2220" w:type="dxa"/>
            <w:tcBorders>
              <w:left w:val="single" w:sz="4" w:space="0" w:color="auto"/>
              <w:right w:val="single" w:sz="4" w:space="0" w:color="auto"/>
            </w:tcBorders>
            <w:shd w:val="clear" w:color="000000" w:fill="E8E8E8"/>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fldChar w:fldCharType="begin"/>
            </w:r>
            <w:r w:rsidRPr="001C3802">
              <w:rPr>
                <w:rFonts w:ascii="Times New Roman" w:eastAsia="Arial" w:hAnsi="Times New Roman" w:cs="Times New Roman"/>
              </w:rPr>
              <w:instrText xml:space="preserve"> ADDIN ZOTERO_ITEM CSL_CITATION {"citationID":"Bou69ESF","properties":{"formattedCitation":"(Druka et al., 2011)","plainCitation":"(Druka et al., 2011)","noteIndex":0},"citationItems":[{"id":2380,"uris":["http://zotero.org/groups/328762/items/468FCBEP"],"uri":["http://zotero.org/groups/328762/items/468FCBEP"],"itemData":{"id":2380,"type":"article-journal","title":"Genetic Dissection of Barley Morphology and Development","container-title":"Plant Physiology","page":"617-627","volume":"155","issue":"2","source":"www.plantphysiol.org","abstract":"Since the early 20th century, barley (Hordeum vulgare) has been a model for investigating the effects of physical and chemical mutagens and for exploring the potential of mutation breeding in crop improvement. As a consequence, extensive and well-characterized collections of morphological and developmental mutants have been assembled that represent a valuable resource for exploring a wide range of complex and fundamental biological processes. We constructed a collection of 881 backcrossed lines containing mutant alleles that induce a majority of the morphological and developmental variation described in this species. After genotyping these lines with up to 3,072 single nucleotide polymorphisms, comparison to their recurrent parent defined the genetic location of 426 mutant alleles to chromosomal segments, each representing on average &lt;3% of the barley genetic map. We show how the gene content in these segments can be predicted through conservation of synteny with model cereal genomes, providing a route to rapid gene identification.","DOI":"10.1104/pp.110.166249","ISSN":"0032-0889, 1532-2548","note":"PMID: 21088227","journalAbbreviation":"Plant Physiol.","language":"en","author":[{"family":"Druka","given":"Arnis"},{"family":"Franckowiak","given":"Jerome"},{"family":"Lundqvist","given":"Udda"},{"family":"Bonar","given":"Nicola"},{"family":"Alexander","given":"Jill"},{"family":"Houston","given":"Kelly"},{"family":"Radovic","given":"Slobodanka"},{"family":"Shahinnia","given":"Fahimeh"},{"family":"Vendramin","given":"Vera"},{"family":"Morgante","given":"Michele"},{"family":"Stein","given":"Nils"},{"family":"Waugh","given":"Robbie"}],"issued":{"date-parts":[["2011",2,1]]}}}],"schema":"https://github.com/citation-style-language/schema/raw/master/csl-citation.json"} </w:instrText>
            </w:r>
            <w:r w:rsidRPr="001C3802">
              <w:rPr>
                <w:rFonts w:ascii="Times New Roman" w:eastAsia="Arial" w:hAnsi="Times New Roman" w:cs="Times New Roman"/>
              </w:rPr>
              <w:fldChar w:fldCharType="separate"/>
            </w:r>
            <w:r w:rsidR="003B3687" w:rsidRPr="003B3687">
              <w:rPr>
                <w:rFonts w:ascii="Times New Roman" w:hAnsi="Times New Roman" w:cs="Times New Roman"/>
              </w:rPr>
              <w:t>(Druka et al., 2011)</w:t>
            </w:r>
            <w:r w:rsidRPr="001C3802">
              <w:rPr>
                <w:rFonts w:ascii="Times New Roman" w:eastAsia="Arial" w:hAnsi="Times New Roman" w:cs="Times New Roman"/>
              </w:rPr>
              <w:fldChar w:fldCharType="end"/>
            </w:r>
          </w:p>
        </w:tc>
      </w:tr>
      <w:tr w:rsidR="001C3802" w:rsidRPr="001C3802" w:rsidTr="00221BDF">
        <w:trPr>
          <w:trHeight w:val="520"/>
          <w:jc w:val="center"/>
        </w:trPr>
        <w:tc>
          <w:tcPr>
            <w:tcW w:w="2336" w:type="dxa"/>
            <w:tcBorders>
              <w:left w:val="single" w:sz="4" w:space="0" w:color="auto"/>
              <w:bottom w:val="single" w:sz="4" w:space="0" w:color="auto"/>
              <w:right w:val="single" w:sz="4" w:space="0" w:color="auto"/>
            </w:tcBorders>
            <w:shd w:val="clear" w:color="000000" w:fill="FFFFFF"/>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lastRenderedPageBreak/>
              <w:t>NA</w:t>
            </w:r>
          </w:p>
        </w:tc>
        <w:tc>
          <w:tcPr>
            <w:tcW w:w="2681" w:type="dxa"/>
            <w:tcBorders>
              <w:left w:val="single" w:sz="4" w:space="0" w:color="auto"/>
              <w:bottom w:val="single" w:sz="4" w:space="0" w:color="auto"/>
              <w:right w:val="single" w:sz="4" w:space="0" w:color="auto"/>
            </w:tcBorders>
            <w:shd w:val="clear" w:color="000000" w:fill="FFFFFF"/>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i/>
              </w:rPr>
              <w:t>intermedium-m</w:t>
            </w:r>
            <w:r w:rsidRPr="001C3802">
              <w:rPr>
                <w:rFonts w:ascii="Times New Roman" w:eastAsia="Arial" w:hAnsi="Times New Roman" w:cs="Times New Roman"/>
              </w:rPr>
              <w:t xml:space="preserve"> (</w:t>
            </w:r>
            <w:r w:rsidRPr="001C3802">
              <w:rPr>
                <w:rFonts w:ascii="Times New Roman" w:eastAsia="Arial" w:hAnsi="Times New Roman" w:cs="Times New Roman"/>
                <w:i/>
              </w:rPr>
              <w:t>int-m</w:t>
            </w:r>
            <w:r w:rsidRPr="001C3802">
              <w:rPr>
                <w:rFonts w:ascii="Times New Roman" w:eastAsia="Arial" w:hAnsi="Times New Roman" w:cs="Times New Roman"/>
              </w:rPr>
              <w:t>)</w:t>
            </w:r>
          </w:p>
        </w:tc>
        <w:tc>
          <w:tcPr>
            <w:tcW w:w="3132" w:type="dxa"/>
            <w:tcBorders>
              <w:left w:val="single" w:sz="4" w:space="0" w:color="auto"/>
              <w:bottom w:val="single" w:sz="4" w:space="0" w:color="auto"/>
              <w:right w:val="single" w:sz="4" w:space="0" w:color="auto"/>
            </w:tcBorders>
            <w:shd w:val="clear" w:color="000000" w:fill="FFFFFF"/>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NA</w:t>
            </w:r>
          </w:p>
        </w:tc>
        <w:tc>
          <w:tcPr>
            <w:tcW w:w="448" w:type="dxa"/>
            <w:tcBorders>
              <w:left w:val="single" w:sz="4" w:space="0" w:color="auto"/>
              <w:bottom w:val="single" w:sz="4" w:space="0" w:color="auto"/>
              <w:right w:val="single" w:sz="4" w:space="0" w:color="auto"/>
            </w:tcBorders>
            <w:shd w:val="clear" w:color="000000" w:fill="FFFFFF"/>
            <w:vAlign w:val="center"/>
            <w:hideMark/>
          </w:tcPr>
          <w:p w:rsidR="001C3802" w:rsidRPr="001C3802" w:rsidRDefault="001C3802" w:rsidP="001C3802">
            <w:pPr>
              <w:spacing w:after="0" w:line="240" w:lineRule="auto"/>
              <w:jc w:val="center"/>
              <w:rPr>
                <w:rFonts w:ascii="Times New Roman" w:eastAsia="Arial" w:hAnsi="Times New Roman" w:cs="Times New Roman"/>
              </w:rPr>
            </w:pPr>
            <w:r w:rsidRPr="001C3802">
              <w:rPr>
                <w:rFonts w:ascii="Times New Roman" w:eastAsia="Arial" w:hAnsi="Times New Roman" w:cs="Times New Roman"/>
              </w:rPr>
              <w:t>5</w:t>
            </w:r>
          </w:p>
        </w:tc>
        <w:tc>
          <w:tcPr>
            <w:tcW w:w="1170" w:type="dxa"/>
            <w:tcBorders>
              <w:left w:val="single" w:sz="4" w:space="0" w:color="auto"/>
              <w:bottom w:val="single" w:sz="4" w:space="0" w:color="auto"/>
              <w:right w:val="single" w:sz="4" w:space="0" w:color="auto"/>
            </w:tcBorders>
            <w:shd w:val="clear" w:color="000000" w:fill="FFFFFF"/>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640705320</w:t>
            </w:r>
          </w:p>
        </w:tc>
        <w:tc>
          <w:tcPr>
            <w:tcW w:w="878" w:type="dxa"/>
            <w:tcBorders>
              <w:left w:val="single" w:sz="4" w:space="0" w:color="auto"/>
              <w:bottom w:val="single" w:sz="4" w:space="0" w:color="auto"/>
              <w:right w:val="single" w:sz="4" w:space="0" w:color="auto"/>
            </w:tcBorders>
            <w:shd w:val="clear" w:color="000000" w:fill="FFFFFF"/>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t>150.7-</w:t>
            </w:r>
            <w:r w:rsidRPr="001C3802">
              <w:rPr>
                <w:rFonts w:ascii="Times New Roman" w:eastAsia="Arial" w:hAnsi="Times New Roman" w:cs="Times New Roman"/>
              </w:rPr>
              <w:br/>
              <w:t>158.23</w:t>
            </w:r>
          </w:p>
        </w:tc>
        <w:tc>
          <w:tcPr>
            <w:tcW w:w="2220" w:type="dxa"/>
            <w:tcBorders>
              <w:left w:val="single" w:sz="4" w:space="0" w:color="auto"/>
              <w:bottom w:val="single" w:sz="4" w:space="0" w:color="auto"/>
              <w:right w:val="single" w:sz="4" w:space="0" w:color="auto"/>
            </w:tcBorders>
            <w:shd w:val="clear" w:color="000000" w:fill="FFFFFF"/>
            <w:vAlign w:val="center"/>
            <w:hideMark/>
          </w:tcPr>
          <w:p w:rsidR="001C3802" w:rsidRPr="001C3802" w:rsidRDefault="001C3802" w:rsidP="001C3802">
            <w:pPr>
              <w:spacing w:after="0" w:line="240" w:lineRule="auto"/>
              <w:rPr>
                <w:rFonts w:ascii="Times New Roman" w:eastAsia="Arial" w:hAnsi="Times New Roman" w:cs="Times New Roman"/>
              </w:rPr>
            </w:pPr>
            <w:r w:rsidRPr="001C3802">
              <w:rPr>
                <w:rFonts w:ascii="Times New Roman" w:eastAsia="Arial" w:hAnsi="Times New Roman" w:cs="Times New Roman"/>
              </w:rPr>
              <w:fldChar w:fldCharType="begin"/>
            </w:r>
            <w:r w:rsidRPr="001C3802">
              <w:rPr>
                <w:rFonts w:ascii="Times New Roman" w:eastAsia="Arial" w:hAnsi="Times New Roman" w:cs="Times New Roman"/>
              </w:rPr>
              <w:instrText xml:space="preserve"> ADDIN ZOTERO_ITEM CSL_CITATION {"citationID":"aiSjj1HX","properties":{"formattedCitation":"(Druka et al., 2011)","plainCitation":"(Druka et al., 2011)","noteIndex":0},"citationItems":[{"id":2380,"uris":["http://zotero.org/groups/328762/items/468FCBEP"],"uri":["http://zotero.org/groups/328762/items/468FCBEP"],"itemData":{"id":2380,"type":"article-journal","title":"Genetic Dissection of Barley Morphology and Development","container-title":"Plant Physiology","page":"617-627","volume":"155","issue":"2","source":"www.plantphysiol.org","abstract":"Since the early 20th century, barley (Hordeum vulgare) has been a model for investigating the effects of physical and chemical mutagens and for exploring the potential of mutation breeding in crop improvement. As a consequence, extensive and well-characterized collections of morphological and developmental mutants have been assembled that represent a valuable resource for exploring a wide range of complex and fundamental biological processes. We constructed a collection of 881 backcrossed lines containing mutant alleles that induce a majority of the morphological and developmental variation described in this species. After genotyping these lines with up to 3,072 single nucleotide polymorphisms, comparison to their recurrent parent defined the genetic location of 426 mutant alleles to chromosomal segments, each representing on average &lt;3% of the barley genetic map. We show how the gene content in these segments can be predicted through conservation of synteny with model cereal genomes, providing a route to rapid gene identification.","DOI":"10.1104/pp.110.166249","ISSN":"0032-0889, 1532-2548","note":"PMID: 21088227","journalAbbreviation":"Plant Physiol.","language":"en","author":[{"family":"Druka","given":"Arnis"},{"family":"Franckowiak","given":"Jerome"},{"family":"Lundqvist","given":"Udda"},{"family":"Bonar","given":"Nicola"},{"family":"Alexander","given":"Jill"},{"family":"Houston","given":"Kelly"},{"family":"Radovic","given":"Slobodanka"},{"family":"Shahinnia","given":"Fahimeh"},{"family":"Vendramin","given":"Vera"},{"family":"Morgante","given":"Michele"},{"family":"Stein","given":"Nils"},{"family":"Waugh","given":"Robbie"}],"issued":{"date-parts":[["2011",2,1]]}}}],"schema":"https://github.com/citation-style-language/schema/raw/master/csl-citation.json"} </w:instrText>
            </w:r>
            <w:r w:rsidRPr="001C3802">
              <w:rPr>
                <w:rFonts w:ascii="Times New Roman" w:eastAsia="Arial" w:hAnsi="Times New Roman" w:cs="Times New Roman"/>
              </w:rPr>
              <w:fldChar w:fldCharType="separate"/>
            </w:r>
            <w:r w:rsidR="003B3687" w:rsidRPr="003B3687">
              <w:rPr>
                <w:rFonts w:ascii="Times New Roman" w:hAnsi="Times New Roman" w:cs="Times New Roman"/>
              </w:rPr>
              <w:t>(Druka et al., 2011)</w:t>
            </w:r>
            <w:r w:rsidRPr="001C3802">
              <w:rPr>
                <w:rFonts w:ascii="Times New Roman" w:eastAsia="Arial" w:hAnsi="Times New Roman" w:cs="Times New Roman"/>
              </w:rPr>
              <w:fldChar w:fldCharType="end"/>
            </w:r>
          </w:p>
        </w:tc>
      </w:tr>
    </w:tbl>
    <w:p w:rsidR="000B37C7" w:rsidRDefault="00C16B01" w:rsidP="00855350">
      <w:pPr>
        <w:spacing w:after="0" w:line="240" w:lineRule="auto"/>
        <w:rPr>
          <w:rFonts w:asciiTheme="majorHAnsi" w:hAnsiTheme="majorHAnsi" w:cstheme="majorHAnsi"/>
        </w:rPr>
      </w:pPr>
      <w:proofErr w:type="spellStart"/>
      <w:r w:rsidRPr="00C16B01">
        <w:rPr>
          <w:rFonts w:asciiTheme="majorHAnsi" w:hAnsiTheme="majorHAnsi" w:cstheme="majorHAnsi"/>
          <w:i/>
          <w:vertAlign w:val="superscript"/>
        </w:rPr>
        <w:t>a</w:t>
      </w:r>
      <w:r w:rsidR="000B37C7">
        <w:rPr>
          <w:rFonts w:asciiTheme="majorHAnsi" w:hAnsiTheme="majorHAnsi" w:cstheme="majorHAnsi"/>
        </w:rPr>
        <w:t>References</w:t>
      </w:r>
      <w:proofErr w:type="spellEnd"/>
      <w:r w:rsidR="000B37C7">
        <w:rPr>
          <w:rFonts w:asciiTheme="majorHAnsi" w:hAnsiTheme="majorHAnsi" w:cstheme="majorHAnsi"/>
        </w:rPr>
        <w:t xml:space="preserve"> for positions </w:t>
      </w:r>
      <w:r w:rsidR="000B37C7">
        <w:rPr>
          <w:rFonts w:asciiTheme="majorHAnsi" w:hAnsiTheme="majorHAnsi" w:cstheme="majorHAnsi"/>
        </w:rPr>
        <w:fldChar w:fldCharType="begin"/>
      </w:r>
      <w:r w:rsidR="000B37C7">
        <w:rPr>
          <w:rFonts w:asciiTheme="majorHAnsi" w:hAnsiTheme="majorHAnsi" w:cstheme="majorHAnsi"/>
        </w:rPr>
        <w:instrText xml:space="preserve"> ADDIN ZOTERO_ITEM CSL_CITATION {"citationID":"f2NgguCC","properties":{"formattedCitation":"(Beier et al., 2017; Mascher et al., 2013, 2017)","plainCitation":"(Beier et al., 2017; Mascher et al., 2013, 2017)","noteIndex":0},"citationItems":[{"id":4909,"uris":["http://zotero.org/groups/328762/items/EPYQAT25"],"uri":["http://zotero.org/groups/328762/items/EPYQAT25"],"itemData":{"id":4909,"type":"article-journal","title":"Construction of a map-based reference genome sequence for barley, &lt;i&gt;Hordeum vulgare&lt;/i&gt; L.","container-title":"Scientific Data","page":"170044","volume":"4","source":"www.nature.com","abstract":"Barley (Hordeum vulgare L.) is a cereal grass mainly used as animal fodder and raw material for the malting industry. The map-based reference genome sequence of barley cv. ‘Morex’ was constructed by the International Barley Genome Sequencing Consortium (IBSC) using hierarchical shotgun sequencing. Here, we report the experimental and computational procedures to (i) sequence and assemble more than 80,000 bacterial artificial chromosome (BAC) clones along the minimum tiling path of a genome-wide physical map, (ii) find and validate overlaps between adjacent BACs, (iii) construct 4,265 non-redundant sequence scaffolds representing clusters of overlapping BACs, and (iv) order and orient these BAC clusters along the seven barley chromosomes using positional information provided by dense genetic maps, an optical map and chromosome conformation capture sequencing (Hi-C). Integrative access to these sequence and mapping resources is provided by the barley genome explorer (BARLEX).","DOI":"10.1038/sdata.2017.44","ISSN":"2052-4463","language":"en","author":[{"family":"Beier","given":"Sebastian"},{"family":"Himmelbach","given":"Axel"},{"family":"Colmsee","given":"Christian"},{"family":"Zhang","given":"Xiao-Qi"},{"family":"Barrero","given":"Roberto A."},{"family":"Zhang","given":"Qisen"},{"family":"Li","given":"Lin"},{"family":"Bayer","given":"Micha"},{"family":"Bolser","given":"Daniel"},{"family":"Taudien","given":"Stefan"},{"family":"Groth","given":"Marco"},{"family":"Felder","given":"Marius"},{"family":"Hastie","given":"Alex"},{"family":"Šimková","given":"Hana"},{"family":"Staňková","given":"Helena"},{"family":"Vrána","given":"Jan"},{"family":"Chan","given":"Saki"},{"family":"Muñoz-Amatriaín","given":"María"},{"family":"Ounit","given":"Rachid"},{"family":"Wanamaker","given":"Steve"},{"family":"Schmutzer","given":"Thomas"},{"family":"Aliyeva-Schnorr","given":"Lala"},{"family":"Grasso","given":"Stefano"},{"family":"Tanskanen","given":"Jaakko"},{"family":"Sampath","given":"Dharanya"},{"family":"Heavens","given":"Darren"},{"family":"Cao","given":"Sujie"},{"family":"Chapman","given":"Brett"},{"family":"Dai","given":"Fei"},{"family":"Han","given":"Yong"},{"family":"Li","given":"Hua"},{"family":"Li","given":"Xuan"},{"family":"Lin","given":"Chongyun"},{"family":"McCooke","given":"John K."},{"family":"Tan","given":"Cong"},{"family":"Wang","given":"Songbo"},{"family":"Yin","given":"Shuya"},{"family":"Zhou","given":"Gaofeng"},{"family":"Poland","given":"Jesse A."},{"family":"Bellgard","given":"Matthew I."},{"family":"Houben","given":"Andreas"},{"family":"Doležel","given":"Jaroslav"},{"family":"Ayling","given":"Sarah"},{"family":"Lonardi","given":"Stefano"},{"family":"Langridge","given":"Peter"},{"family":"Muehlbauer","given":"Gary J."},{"family":"Kersey","given":"Paul"},{"family":"Clark","given":"Matthew D."},{"family":"Caccamo","given":"Mario"},{"family":"Schulman","given":"Alan H."},{"family":"Platzer","given":"Matthias"},{"family":"Close","given":"Timothy J."},{"family":"Hansson","given":"Mats"},{"family":"Zhang","given":"Guoping"},{"family":"Braumann","given":"Ilka"},{"family":"Li","given":"Chengdao"},{"family":"Waugh","given":"Robbie"},{"family":"Scholz","given":"Uwe"},{"family":"Stein","given":"Nils"},{"family":"Mascher","given":"Martin"}],"issued":{"date-parts":[["2017",4,27]]}}},{"id":890,"uris":["http://zotero.org/groups/328762/items/AIKHHKWE"],"uri":["http://zotero.org/groups/328762/items/AIKHHKWE"],"itemData":{"id":890,"type":"article-journal","title":"Anchoring and ordering NGS contig assemblies by population sequencing (POPSEQ)","container-title":"The Plant Journal","page":"718-727","volume":"76","issue":"4","source":"Wiley Online Library","abstract":"Next-generation whole-genome shotgun assemblies of complex genomes are highly useful, but fail to link nearby sequence contigs with each other or provide a linear order of contigs along individual chromosomes. Here, we introduce a strategy based on sequencing progeny of a segregating population that allows de novo production of a genetically anchored linear assembly of the gene space of an organism. We demonstrate the power of the approach by reconstructing the chromosomal organization of the gene space of barley, a large, complex and highly repetitive 5.1 Gb genome. We evaluate the robustness of the new assembly by comparison to a recently released physical and genetic framework of the barley genome, and to various genetically ordered sequence-based genotypic datasets. The method is independent of the need for any prior sequence resources, and will enable rapid and cost-efficient establishment of powerful genomic information for many species.","DOI":"10.1111/tpj.12319","ISSN":"1365-313X","journalAbbreviation":"Plant J","language":"en","author":[{"family":"Mascher","given":"Martin"},{"family":"Muehlbauer","given":"Gary J."},{"family":"Rokhsar","given":"Daniel S."},{"family":"Chapman","given":"Jarrod"},{"family":"Schmutz","given":"Jeremy"},{"family":"Barry","given":"Kerrie"},{"family":"Muñoz-Amatriaín","given":"María"},{"family":"Close","given":"Timothy J."},{"family":"Wise","given":"Roger P."},{"family":"Schulman","given":"Alan H."},{"family":"Himmelbach","given":"Axel"},{"family":"Mayer","given":"Klaus F.X."},{"family":"Scholz","given":"Uwe"},{"family":"Poland","given":"Jesse A."},{"family":"Stein","given":"Nils"},{"family":"Waugh","given":"Robbie"}],"issued":{"date-parts":[["2013",11,1]]}}},{"id":6090,"uris":["http://zotero.org/groups/328762/items/8DGCNJNY"],"uri":["http://zotero.org/groups/328762/items/8DGCNJNY"],"itemData":{"id":6090,"type":"article-journal","title":"A chromosome conformation capture ordered sequence of the barley genome","container-title":"Nature","page":"427-433","volume":"544","issue":"7651","source":"www-nature-com.ezp1.lib.umn.edu","abstract":"Cereal grasses of the Triticeae tribe have been the major food source in temperate regions since the dawn of agriculture. Their large genomes are characterized by a high content of repetitive elements and large pericentromeric regions that are virtually devoid of meiotic recombination. Here we present a high-quality reference genome assembly for barley (Hordeum vulgare L.). We use chromosome conformation capture mapping to derive the linear order of sequences across the pericentromeric space and to investigate the spatial organization of chromatin in the nucleus at megabase resolution. The composition of genes and repetitive elements differs between distal and proximal regions. Gene family analyses reveal lineage-specific duplications of genes involved in the transport of nutrients to developing seeds and the mobilization of carbohydrates in grains. We demonstrate the importance of the barley reference sequence for breeding by inspecting the genomic partitioning of sequence variation in modern elite germplasm, highlighting regions vulnerable to genetic erosion.","DOI":"10.1038/nature22043","ISSN":"1476-4687","language":"en","author":[{"family":"Mascher","given":"Martin"},{"family":"Gundlach","given":"Heidrun"},{"family":"Himmelbach","given":"Axel"},{"family":"Beier","given":"Sebastian"},{"family":"Twardziok","given":"Sven O."},{"family":"Wicker","given":"Thomas"},{"family":"Radchuk","given":"Volodymyr"},{"family":"Dockter","given":"Christoph"},{"family":"Hedley","given":"Pete E."},{"family":"Russell","given":"Joanne"},{"family":"Bayer","given":"Micha"},{"family":"Ramsay","given":"Luke"},{"family":"Liu","given":"Hui"},{"family":"Haberer","given":"Georg"},{"family":"Zhang","given":"Xiao-Qi"},{"family":"Zhang","given":"Qisen"},{"family":"Barrero","given":"Roberto A."},{"family":"Li","given":"Lin"},{"family":"Taudien","given":"Stefan"},{"family":"Groth","given":"Marco"},{"family":"Felder","given":"Marius"},{"family":"Hastie","given":"Alex"},{"family":"Šimková","given":"Hana"},{"family":"Staňková","given":"Helena"},{"family":"Vrána","given":"Jan"},{"family":"Chan","given":"Saki"},{"family":"Muñoz-Amatriaín","given":"María"},{"family":"Ounit","given":"Rachid"},{"family":"Wanamaker","given":"Steve"},{"family":"Bolser","given":"Daniel"},{"family":"Colmsee","given":"Christian"},{"family":"Schmutzer","given":"Thomas"},{"family":"Aliyeva-Schnorr","given":"Lala"},{"family":"Grasso","given":"Stefano"},{"family":"Tanskanen","given":"Jaakko"},{"family":"Chailyan","given":"Anna"},{"family":"Sampath","given":"Dharanya"},{"family":"Heavens","given":"Darren"},{"family":"Clissold","given":"Leah"},{"family":"Cao","given":"Sujie"},{"family":"Chapman","given":"Brett"},{"family":"Dai","given":"Fei"},{"family":"Han","given":"Yong"},{"family":"Li","given":"Hua"},{"family":"Li","given":"Xuan"},{"family":"Lin","given":"Chongyun"},{"family":"McCooke","given":"John K."},{"family":"Tan","given":"Cong"},{"family":"Wang","given":"Penghao"},{"family":"Wang","given":"Songbo"},{"family":"Yin","given":"Shuya"},{"family":"Zhou","given":"Gaofeng"},{"family":"Poland","given":"Jesse A."},{"family":"Bellgard","given":"Matthew I."},{"family":"Borisjuk","given":"Ljudmilla"},{"family":"Houben","given":"Andreas"},{"family":"Doležel","given":"Jaroslav"},{"family":"Ayling","given":"Sarah"},{"family":"Lonardi","given":"Stefano"},{"family":"Kersey","given":"Paul"},{"family":"Langridge","given":"Peter"},{"family":"Muehlbauer","given":"Gary J."},{"family":"Clark","given":"Matthew D."},{"family":"Caccamo","given":"Mario"},{"family":"Schulman","given":"Alan H."},{"family":"Mayer","given":"Klaus F. X."},{"family":"Platzer","given":"Matthias"},{"family":"Close","given":"Timothy J."},{"family":"Scholz","given":"Uwe"},{"family":"Hansson","given":"Mats"},{"family":"Zhang","given":"Guoping"},{"family":"Braumann","given":"Ilka"},{"family":"Spannagl","given":"Manuel"},{"family":"Li","given":"Chengdao"},{"family":"Waugh","given":"Robbie"},{"family":"Stein","given":"Nils"}],"issued":{"date-parts":[["2017",4]]}}}],"schema":"https://github.com/citation-style-language/schema/raw/master/csl-citation.json"} </w:instrText>
      </w:r>
      <w:r w:rsidR="000B37C7">
        <w:rPr>
          <w:rFonts w:asciiTheme="majorHAnsi" w:hAnsiTheme="majorHAnsi" w:cstheme="majorHAnsi"/>
        </w:rPr>
        <w:fldChar w:fldCharType="separate"/>
      </w:r>
      <w:r w:rsidR="000B37C7" w:rsidRPr="000B37C7">
        <w:rPr>
          <w:rFonts w:ascii="Times New Roman" w:hAnsi="Times New Roman" w:cs="Times New Roman"/>
        </w:rPr>
        <w:t>(</w:t>
      </w:r>
      <w:proofErr w:type="spellStart"/>
      <w:r w:rsidR="000B37C7" w:rsidRPr="000B37C7">
        <w:rPr>
          <w:rFonts w:ascii="Times New Roman" w:hAnsi="Times New Roman" w:cs="Times New Roman"/>
        </w:rPr>
        <w:t>Beier</w:t>
      </w:r>
      <w:proofErr w:type="spellEnd"/>
      <w:r w:rsidR="000B37C7" w:rsidRPr="000B37C7">
        <w:rPr>
          <w:rFonts w:ascii="Times New Roman" w:hAnsi="Times New Roman" w:cs="Times New Roman"/>
        </w:rPr>
        <w:t xml:space="preserve"> et al., 2017; Mascher et al., 2013, 2017)</w:t>
      </w:r>
      <w:r w:rsidR="000B37C7">
        <w:rPr>
          <w:rFonts w:asciiTheme="majorHAnsi" w:hAnsiTheme="majorHAnsi" w:cstheme="majorHAnsi"/>
        </w:rPr>
        <w:fldChar w:fldCharType="end"/>
      </w:r>
    </w:p>
    <w:p w:rsidR="00C16B01" w:rsidRDefault="00C16B01" w:rsidP="00855350">
      <w:pPr>
        <w:spacing w:after="0" w:line="240" w:lineRule="auto"/>
        <w:rPr>
          <w:rFonts w:asciiTheme="majorHAnsi" w:hAnsiTheme="majorHAnsi" w:cstheme="majorHAnsi"/>
        </w:rPr>
      </w:pPr>
      <w:proofErr w:type="spellStart"/>
      <w:proofErr w:type="gramStart"/>
      <w:r w:rsidRPr="00C16B01">
        <w:rPr>
          <w:rFonts w:asciiTheme="majorHAnsi" w:hAnsiTheme="majorHAnsi" w:cstheme="majorHAnsi"/>
          <w:i/>
          <w:vertAlign w:val="superscript"/>
        </w:rPr>
        <w:t>b</w:t>
      </w:r>
      <w:r w:rsidRPr="00855350">
        <w:rPr>
          <w:rFonts w:asciiTheme="majorHAnsi" w:hAnsiTheme="majorHAnsi" w:cstheme="majorHAnsi"/>
        </w:rPr>
        <w:t>Aligned</w:t>
      </w:r>
      <w:proofErr w:type="spellEnd"/>
      <w:proofErr w:type="gramEnd"/>
      <w:r w:rsidRPr="00855350">
        <w:rPr>
          <w:rFonts w:asciiTheme="majorHAnsi" w:hAnsiTheme="majorHAnsi" w:cstheme="majorHAnsi"/>
        </w:rPr>
        <w:t xml:space="preserve"> to 2016 low confidence gene annotated as "undescribed"</w:t>
      </w:r>
    </w:p>
    <w:p w:rsidR="00855350" w:rsidRDefault="00C16B01" w:rsidP="00855350">
      <w:pPr>
        <w:spacing w:after="0" w:line="240" w:lineRule="auto"/>
        <w:rPr>
          <w:rFonts w:asciiTheme="majorHAnsi" w:hAnsiTheme="majorHAnsi" w:cstheme="majorHAnsi"/>
        </w:rPr>
      </w:pPr>
      <w:proofErr w:type="spellStart"/>
      <w:proofErr w:type="gramStart"/>
      <w:r w:rsidRPr="00C16B01">
        <w:rPr>
          <w:rFonts w:asciiTheme="majorHAnsi" w:hAnsiTheme="majorHAnsi" w:cstheme="majorHAnsi"/>
          <w:i/>
          <w:vertAlign w:val="superscript"/>
        </w:rPr>
        <w:t>c</w:t>
      </w:r>
      <w:r w:rsidR="00855350" w:rsidRPr="00855350">
        <w:rPr>
          <w:rFonts w:asciiTheme="majorHAnsi" w:hAnsiTheme="majorHAnsi" w:cstheme="majorHAnsi"/>
        </w:rPr>
        <w:t>Aligned</w:t>
      </w:r>
      <w:proofErr w:type="spellEnd"/>
      <w:proofErr w:type="gramEnd"/>
      <w:r w:rsidR="00855350" w:rsidRPr="00855350">
        <w:rPr>
          <w:rFonts w:asciiTheme="majorHAnsi" w:hAnsiTheme="majorHAnsi" w:cstheme="majorHAnsi"/>
        </w:rPr>
        <w:t xml:space="preserve"> to 2016 high confidence gene bu</w:t>
      </w:r>
      <w:r w:rsidR="00855350">
        <w:rPr>
          <w:rFonts w:asciiTheme="majorHAnsi" w:hAnsiTheme="majorHAnsi" w:cstheme="majorHAnsi"/>
        </w:rPr>
        <w:t>t gene was annotated improperly</w:t>
      </w:r>
    </w:p>
    <w:p w:rsidR="00855350" w:rsidRDefault="00855350" w:rsidP="00855350">
      <w:pPr>
        <w:spacing w:after="0" w:line="240" w:lineRule="auto"/>
        <w:rPr>
          <w:rFonts w:asciiTheme="majorHAnsi" w:hAnsiTheme="majorHAnsi" w:cstheme="majorHAnsi"/>
        </w:rPr>
      </w:pPr>
    </w:p>
    <w:p w:rsidR="001C3802" w:rsidRPr="00855350" w:rsidRDefault="001C3802">
      <w:pPr>
        <w:rPr>
          <w:rFonts w:asciiTheme="majorHAnsi" w:hAnsiTheme="majorHAnsi" w:cstheme="majorHAnsi"/>
          <w:b/>
        </w:rPr>
      </w:pPr>
      <w:r w:rsidRPr="00855350">
        <w:rPr>
          <w:rFonts w:asciiTheme="majorHAnsi" w:hAnsiTheme="majorHAnsi" w:cstheme="majorHAnsi"/>
          <w:b/>
        </w:rPr>
        <w:t>References</w:t>
      </w:r>
    </w:p>
    <w:p w:rsidR="000B37C7" w:rsidRPr="000B37C7" w:rsidRDefault="001C3802" w:rsidP="000B37C7">
      <w:pPr>
        <w:pStyle w:val="Bibliography"/>
        <w:rPr>
          <w:rFonts w:ascii="Times New Roman" w:hAnsi="Times New Roman" w:cs="Times New Roman"/>
        </w:rPr>
      </w:pPr>
      <w:r>
        <w:rPr>
          <w:rFonts w:asciiTheme="majorHAnsi" w:hAnsiTheme="majorHAnsi" w:cstheme="majorHAnsi"/>
        </w:rPr>
        <w:fldChar w:fldCharType="begin"/>
      </w:r>
      <w:r w:rsidR="0054616F">
        <w:rPr>
          <w:rFonts w:asciiTheme="majorHAnsi" w:hAnsiTheme="majorHAnsi" w:cstheme="majorHAnsi"/>
        </w:rPr>
        <w:instrText xml:space="preserve"> ADDIN ZOTERO_BIBL {"uncited":[],"omitted":[],"custom":[]} CSL_BIBLIOGRAPHY </w:instrText>
      </w:r>
      <w:r>
        <w:rPr>
          <w:rFonts w:asciiTheme="majorHAnsi" w:hAnsiTheme="majorHAnsi" w:cstheme="majorHAnsi"/>
        </w:rPr>
        <w:fldChar w:fldCharType="separate"/>
      </w:r>
      <w:r w:rsidR="000B37C7" w:rsidRPr="000B37C7">
        <w:rPr>
          <w:rFonts w:ascii="Times New Roman" w:hAnsi="Times New Roman" w:cs="Times New Roman"/>
        </w:rPr>
        <w:t xml:space="preserve">Beier, S., Himmelbach, A., Colmsee, C., Zhang, X.-Q., Barrero, R.A., Zhang, Q., Li, L., Bayer, M., Bolser, D., Taudien, S., et al. (2017). Construction of a map-based reference genome sequence for barley, </w:t>
      </w:r>
      <w:r w:rsidR="000B37C7" w:rsidRPr="000B37C7">
        <w:rPr>
          <w:rFonts w:ascii="Times New Roman" w:hAnsi="Times New Roman" w:cs="Times New Roman"/>
          <w:i/>
          <w:iCs/>
        </w:rPr>
        <w:t>Hordeum vulgare</w:t>
      </w:r>
      <w:r w:rsidR="000B37C7" w:rsidRPr="000B37C7">
        <w:rPr>
          <w:rFonts w:ascii="Times New Roman" w:hAnsi="Times New Roman" w:cs="Times New Roman"/>
        </w:rPr>
        <w:t xml:space="preserve"> L. Sci. Data </w:t>
      </w:r>
      <w:r w:rsidR="000B37C7" w:rsidRPr="000B37C7">
        <w:rPr>
          <w:rFonts w:ascii="Times New Roman" w:hAnsi="Times New Roman" w:cs="Times New Roman"/>
          <w:i/>
          <w:iCs/>
        </w:rPr>
        <w:t>4</w:t>
      </w:r>
      <w:r w:rsidR="000B37C7" w:rsidRPr="000B37C7">
        <w:rPr>
          <w:rFonts w:ascii="Times New Roman" w:hAnsi="Times New Roman" w:cs="Times New Roman"/>
        </w:rPr>
        <w:t>, 170044.</w:t>
      </w:r>
    </w:p>
    <w:p w:rsidR="000B37C7" w:rsidRPr="000B37C7" w:rsidRDefault="000B37C7" w:rsidP="000B37C7">
      <w:pPr>
        <w:pStyle w:val="Bibliography"/>
        <w:rPr>
          <w:rFonts w:ascii="Times New Roman" w:hAnsi="Times New Roman" w:cs="Times New Roman"/>
        </w:rPr>
      </w:pPr>
      <w:r w:rsidRPr="000B37C7">
        <w:rPr>
          <w:rFonts w:ascii="Times New Roman" w:hAnsi="Times New Roman" w:cs="Times New Roman"/>
        </w:rPr>
        <w:t xml:space="preserve">Boden, S.A., Weiss, D., Ross, J.J., Davies, N.W., Trevaskis, B., Chandler, P.M., and Swain, S.M. (2014). EARLY FLOWERING3 Regulates Flowering in Spring Barley by Mediating Gibberellin Production and </w:t>
      </w:r>
      <w:r w:rsidRPr="000B37C7">
        <w:rPr>
          <w:rFonts w:ascii="Times New Roman" w:hAnsi="Times New Roman" w:cs="Times New Roman"/>
          <w:i/>
          <w:iCs/>
        </w:rPr>
        <w:t>FLOWERING LOCUS T</w:t>
      </w:r>
      <w:r w:rsidRPr="000B37C7">
        <w:rPr>
          <w:rFonts w:ascii="Times New Roman" w:hAnsi="Times New Roman" w:cs="Times New Roman"/>
        </w:rPr>
        <w:t xml:space="preserve"> Expression. Plant Cell </w:t>
      </w:r>
      <w:r w:rsidRPr="000B37C7">
        <w:rPr>
          <w:rFonts w:ascii="Times New Roman" w:hAnsi="Times New Roman" w:cs="Times New Roman"/>
          <w:i/>
          <w:iCs/>
        </w:rPr>
        <w:t>26</w:t>
      </w:r>
      <w:r w:rsidRPr="000B37C7">
        <w:rPr>
          <w:rFonts w:ascii="Times New Roman" w:hAnsi="Times New Roman" w:cs="Times New Roman"/>
        </w:rPr>
        <w:t>, 1557–1569.</w:t>
      </w:r>
    </w:p>
    <w:p w:rsidR="000B37C7" w:rsidRPr="000B37C7" w:rsidRDefault="000B37C7" w:rsidP="000B37C7">
      <w:pPr>
        <w:pStyle w:val="Bibliography"/>
        <w:rPr>
          <w:rFonts w:ascii="Times New Roman" w:hAnsi="Times New Roman" w:cs="Times New Roman"/>
        </w:rPr>
      </w:pPr>
      <w:r w:rsidRPr="000B37C7">
        <w:rPr>
          <w:rFonts w:ascii="Times New Roman" w:hAnsi="Times New Roman" w:cs="Times New Roman"/>
        </w:rPr>
        <w:t xml:space="preserve">Calixto, C.P.G., Waugh, R., and Brown, J.W.S. (2015). Evolutionary Relationships Among Barley and Arabidopsis Core Circadian Clock and Clock-Associated Genes. J. Mol. Evol. </w:t>
      </w:r>
      <w:r w:rsidRPr="000B37C7">
        <w:rPr>
          <w:rFonts w:ascii="Times New Roman" w:hAnsi="Times New Roman" w:cs="Times New Roman"/>
          <w:i/>
          <w:iCs/>
        </w:rPr>
        <w:t>80</w:t>
      </w:r>
      <w:r w:rsidRPr="000B37C7">
        <w:rPr>
          <w:rFonts w:ascii="Times New Roman" w:hAnsi="Times New Roman" w:cs="Times New Roman"/>
        </w:rPr>
        <w:t>, 108–119.</w:t>
      </w:r>
    </w:p>
    <w:p w:rsidR="000B37C7" w:rsidRPr="000B37C7" w:rsidRDefault="000B37C7" w:rsidP="000B37C7">
      <w:pPr>
        <w:pStyle w:val="Bibliography"/>
        <w:rPr>
          <w:rFonts w:ascii="Times New Roman" w:hAnsi="Times New Roman" w:cs="Times New Roman"/>
        </w:rPr>
      </w:pPr>
      <w:r w:rsidRPr="000B37C7">
        <w:rPr>
          <w:rFonts w:ascii="Times New Roman" w:hAnsi="Times New Roman" w:cs="Times New Roman"/>
        </w:rPr>
        <w:t xml:space="preserve">Campoli, C., Shtaya, M., Davis, S.J., and von Korff, M. (2012). Expression conservation within the circadian clock of a monocot: natural variation at barley </w:t>
      </w:r>
      <w:r w:rsidRPr="000B37C7">
        <w:rPr>
          <w:rFonts w:ascii="Times New Roman" w:hAnsi="Times New Roman" w:cs="Times New Roman"/>
          <w:i/>
          <w:iCs/>
        </w:rPr>
        <w:t>Ppd-H1</w:t>
      </w:r>
      <w:r w:rsidRPr="000B37C7">
        <w:rPr>
          <w:rFonts w:ascii="Times New Roman" w:hAnsi="Times New Roman" w:cs="Times New Roman"/>
        </w:rPr>
        <w:t xml:space="preserve"> affects circadian expression of flowering time genes, but not clock orthologs. BMC Plant Biol. </w:t>
      </w:r>
      <w:r w:rsidRPr="000B37C7">
        <w:rPr>
          <w:rFonts w:ascii="Times New Roman" w:hAnsi="Times New Roman" w:cs="Times New Roman"/>
          <w:i/>
          <w:iCs/>
        </w:rPr>
        <w:t>12</w:t>
      </w:r>
      <w:r w:rsidRPr="000B37C7">
        <w:rPr>
          <w:rFonts w:ascii="Times New Roman" w:hAnsi="Times New Roman" w:cs="Times New Roman"/>
        </w:rPr>
        <w:t>, 1–15.</w:t>
      </w:r>
    </w:p>
    <w:p w:rsidR="000B37C7" w:rsidRPr="000B37C7" w:rsidRDefault="000B37C7" w:rsidP="000B37C7">
      <w:pPr>
        <w:pStyle w:val="Bibliography"/>
        <w:rPr>
          <w:rFonts w:ascii="Times New Roman" w:hAnsi="Times New Roman" w:cs="Times New Roman"/>
        </w:rPr>
      </w:pPr>
      <w:r w:rsidRPr="000B37C7">
        <w:rPr>
          <w:rFonts w:ascii="Times New Roman" w:hAnsi="Times New Roman" w:cs="Times New Roman"/>
        </w:rPr>
        <w:t xml:space="preserve">Campoli, C., Pankin, A., Drosse, B., Casao, C.M., Davis, S.J., and von Korff, M. (2013). </w:t>
      </w:r>
      <w:r w:rsidRPr="000B37C7">
        <w:rPr>
          <w:rFonts w:ascii="Times New Roman" w:hAnsi="Times New Roman" w:cs="Times New Roman"/>
          <w:i/>
          <w:iCs/>
        </w:rPr>
        <w:t>HvLUX1</w:t>
      </w:r>
      <w:r w:rsidRPr="000B37C7">
        <w:rPr>
          <w:rFonts w:ascii="Times New Roman" w:hAnsi="Times New Roman" w:cs="Times New Roman"/>
        </w:rPr>
        <w:t xml:space="preserve"> is a candidate gene underlying the early maturity 10 locus in barley: phylogeny, diversity, and interactions with the circadian clock and photoperiodic pathways. New Phytol. </w:t>
      </w:r>
      <w:r w:rsidRPr="000B37C7">
        <w:rPr>
          <w:rFonts w:ascii="Times New Roman" w:hAnsi="Times New Roman" w:cs="Times New Roman"/>
          <w:i/>
          <w:iCs/>
        </w:rPr>
        <w:t>199</w:t>
      </w:r>
      <w:r w:rsidRPr="000B37C7">
        <w:rPr>
          <w:rFonts w:ascii="Times New Roman" w:hAnsi="Times New Roman" w:cs="Times New Roman"/>
        </w:rPr>
        <w:t>, 1045–1059.</w:t>
      </w:r>
    </w:p>
    <w:p w:rsidR="000B37C7" w:rsidRPr="000B37C7" w:rsidRDefault="000B37C7" w:rsidP="000B37C7">
      <w:pPr>
        <w:pStyle w:val="Bibliography"/>
        <w:rPr>
          <w:rFonts w:ascii="Times New Roman" w:hAnsi="Times New Roman" w:cs="Times New Roman"/>
        </w:rPr>
      </w:pPr>
      <w:r w:rsidRPr="000B37C7">
        <w:rPr>
          <w:rFonts w:ascii="Times New Roman" w:hAnsi="Times New Roman" w:cs="Times New Roman"/>
        </w:rPr>
        <w:t xml:space="preserve">Comadran, J., Kilian, B., Russell, J., Ramsay, L., Stein, N., Ganal, M., Shaw, P., Bayer, M., Thomas, W., Marshall, D., et al. (2012). Natural variation in a homolog of Antirrhinum </w:t>
      </w:r>
      <w:r w:rsidRPr="000B37C7">
        <w:rPr>
          <w:rFonts w:ascii="Times New Roman" w:hAnsi="Times New Roman" w:cs="Times New Roman"/>
          <w:i/>
          <w:iCs/>
        </w:rPr>
        <w:t>CENTRORADIALIS</w:t>
      </w:r>
      <w:r w:rsidRPr="000B37C7">
        <w:rPr>
          <w:rFonts w:ascii="Times New Roman" w:hAnsi="Times New Roman" w:cs="Times New Roman"/>
        </w:rPr>
        <w:t xml:space="preserve"> contributed to spring growth habit and environmental adaptation in cultivated barley. Nat. Genet. </w:t>
      </w:r>
      <w:r w:rsidRPr="000B37C7">
        <w:rPr>
          <w:rFonts w:ascii="Times New Roman" w:hAnsi="Times New Roman" w:cs="Times New Roman"/>
          <w:i/>
          <w:iCs/>
        </w:rPr>
        <w:t>44</w:t>
      </w:r>
      <w:r w:rsidRPr="000B37C7">
        <w:rPr>
          <w:rFonts w:ascii="Times New Roman" w:hAnsi="Times New Roman" w:cs="Times New Roman"/>
        </w:rPr>
        <w:t>, 1388–1392.</w:t>
      </w:r>
    </w:p>
    <w:p w:rsidR="000B37C7" w:rsidRPr="000B37C7" w:rsidRDefault="000B37C7" w:rsidP="000B37C7">
      <w:pPr>
        <w:pStyle w:val="Bibliography"/>
        <w:rPr>
          <w:rFonts w:ascii="Times New Roman" w:hAnsi="Times New Roman" w:cs="Times New Roman"/>
        </w:rPr>
      </w:pPr>
      <w:r w:rsidRPr="000B37C7">
        <w:rPr>
          <w:rFonts w:ascii="Times New Roman" w:hAnsi="Times New Roman" w:cs="Times New Roman"/>
        </w:rPr>
        <w:t xml:space="preserve">Dabbert, T., Okagaki, R.J., Cho, S., Heinen, S., Boddu, J., and Muehlbauer, G.J. (2010). The genetics of barley low-tillering mutants: </w:t>
      </w:r>
      <w:r w:rsidRPr="000B37C7">
        <w:rPr>
          <w:rFonts w:ascii="Times New Roman" w:hAnsi="Times New Roman" w:cs="Times New Roman"/>
          <w:i/>
          <w:iCs/>
        </w:rPr>
        <w:t>low number of tillers-1</w:t>
      </w:r>
      <w:r w:rsidRPr="000B37C7">
        <w:rPr>
          <w:rFonts w:ascii="Times New Roman" w:hAnsi="Times New Roman" w:cs="Times New Roman"/>
        </w:rPr>
        <w:t xml:space="preserve"> (</w:t>
      </w:r>
      <w:r w:rsidRPr="000B37C7">
        <w:rPr>
          <w:rFonts w:ascii="Times New Roman" w:hAnsi="Times New Roman" w:cs="Times New Roman"/>
          <w:i/>
          <w:iCs/>
        </w:rPr>
        <w:t>lnt1</w:t>
      </w:r>
      <w:r w:rsidRPr="000B37C7">
        <w:rPr>
          <w:rFonts w:ascii="Times New Roman" w:hAnsi="Times New Roman" w:cs="Times New Roman"/>
        </w:rPr>
        <w:t xml:space="preserve">). Theor. Appl. Genet. </w:t>
      </w:r>
      <w:r w:rsidRPr="000B37C7">
        <w:rPr>
          <w:rFonts w:ascii="Times New Roman" w:hAnsi="Times New Roman" w:cs="Times New Roman"/>
          <w:i/>
          <w:iCs/>
        </w:rPr>
        <w:t>121</w:t>
      </w:r>
      <w:r w:rsidRPr="000B37C7">
        <w:rPr>
          <w:rFonts w:ascii="Times New Roman" w:hAnsi="Times New Roman" w:cs="Times New Roman"/>
        </w:rPr>
        <w:t>, 705–715.</w:t>
      </w:r>
    </w:p>
    <w:p w:rsidR="000B37C7" w:rsidRPr="000B37C7" w:rsidRDefault="000B37C7" w:rsidP="000B37C7">
      <w:pPr>
        <w:pStyle w:val="Bibliography"/>
        <w:rPr>
          <w:rFonts w:ascii="Times New Roman" w:hAnsi="Times New Roman" w:cs="Times New Roman"/>
        </w:rPr>
      </w:pPr>
      <w:r w:rsidRPr="000B37C7">
        <w:rPr>
          <w:rFonts w:ascii="Times New Roman" w:hAnsi="Times New Roman" w:cs="Times New Roman"/>
        </w:rPr>
        <w:t xml:space="preserve">Druka, A., Franckowiak, J., Lundqvist, U., Bonar, N., Alexander, J., Houston, K., Radovic, S., Shahinnia, F., Vendramin, V., Morgante, M., et al. (2011). Genetic Dissection of Barley Morphology and Development. Plant Physiol. </w:t>
      </w:r>
      <w:r w:rsidRPr="000B37C7">
        <w:rPr>
          <w:rFonts w:ascii="Times New Roman" w:hAnsi="Times New Roman" w:cs="Times New Roman"/>
          <w:i/>
          <w:iCs/>
        </w:rPr>
        <w:t>155</w:t>
      </w:r>
      <w:r w:rsidRPr="000B37C7">
        <w:rPr>
          <w:rFonts w:ascii="Times New Roman" w:hAnsi="Times New Roman" w:cs="Times New Roman"/>
        </w:rPr>
        <w:t>, 617–627.</w:t>
      </w:r>
    </w:p>
    <w:p w:rsidR="000B37C7" w:rsidRPr="000B37C7" w:rsidRDefault="000B37C7" w:rsidP="000B37C7">
      <w:pPr>
        <w:pStyle w:val="Bibliography"/>
        <w:rPr>
          <w:rFonts w:ascii="Times New Roman" w:hAnsi="Times New Roman" w:cs="Times New Roman"/>
        </w:rPr>
      </w:pPr>
      <w:r w:rsidRPr="000B37C7">
        <w:rPr>
          <w:rFonts w:ascii="Times New Roman" w:hAnsi="Times New Roman" w:cs="Times New Roman"/>
        </w:rPr>
        <w:t xml:space="preserve">van Esse, G.W., Walla, A., Finke, A., Koornneef, M., Pecinka, A., and von Korff, M. (2017). Six-rowed spike 3 (VRS3) is a histone demethylase that controls lateral spikelet development in barley. Plant Physiol. </w:t>
      </w:r>
      <w:r w:rsidRPr="000B37C7">
        <w:rPr>
          <w:rFonts w:ascii="Times New Roman" w:hAnsi="Times New Roman" w:cs="Times New Roman"/>
          <w:i/>
          <w:iCs/>
        </w:rPr>
        <w:t>174</w:t>
      </w:r>
      <w:r w:rsidRPr="000B37C7">
        <w:rPr>
          <w:rFonts w:ascii="Times New Roman" w:hAnsi="Times New Roman" w:cs="Times New Roman"/>
        </w:rPr>
        <w:t>, 2397–2408.</w:t>
      </w:r>
    </w:p>
    <w:p w:rsidR="000B37C7" w:rsidRPr="000B37C7" w:rsidRDefault="000B37C7" w:rsidP="000B37C7">
      <w:pPr>
        <w:pStyle w:val="Bibliography"/>
        <w:rPr>
          <w:rFonts w:ascii="Times New Roman" w:hAnsi="Times New Roman" w:cs="Times New Roman"/>
        </w:rPr>
      </w:pPr>
      <w:r w:rsidRPr="000B37C7">
        <w:rPr>
          <w:rFonts w:ascii="Times New Roman" w:hAnsi="Times New Roman" w:cs="Times New Roman"/>
        </w:rPr>
        <w:lastRenderedPageBreak/>
        <w:t xml:space="preserve">Faure, S., Higgins, J., Turner, A., and Laurie, D.A. (2007). The </w:t>
      </w:r>
      <w:r w:rsidRPr="000B37C7">
        <w:rPr>
          <w:rFonts w:ascii="Times New Roman" w:hAnsi="Times New Roman" w:cs="Times New Roman"/>
          <w:i/>
          <w:iCs/>
        </w:rPr>
        <w:t xml:space="preserve">FLOWERING LOCUS T-Like </w:t>
      </w:r>
      <w:r w:rsidRPr="000B37C7">
        <w:rPr>
          <w:rFonts w:ascii="Times New Roman" w:hAnsi="Times New Roman" w:cs="Times New Roman"/>
        </w:rPr>
        <w:t>Gene Family in Barley (</w:t>
      </w:r>
      <w:r w:rsidRPr="000B37C7">
        <w:rPr>
          <w:rFonts w:ascii="Times New Roman" w:hAnsi="Times New Roman" w:cs="Times New Roman"/>
          <w:i/>
          <w:iCs/>
        </w:rPr>
        <w:t>Hordeum vulgare</w:t>
      </w:r>
      <w:r w:rsidRPr="000B37C7">
        <w:rPr>
          <w:rFonts w:ascii="Times New Roman" w:hAnsi="Times New Roman" w:cs="Times New Roman"/>
        </w:rPr>
        <w:t xml:space="preserve">). Genetics </w:t>
      </w:r>
      <w:r w:rsidRPr="000B37C7">
        <w:rPr>
          <w:rFonts w:ascii="Times New Roman" w:hAnsi="Times New Roman" w:cs="Times New Roman"/>
          <w:i/>
          <w:iCs/>
        </w:rPr>
        <w:t>176</w:t>
      </w:r>
      <w:r w:rsidRPr="000B37C7">
        <w:rPr>
          <w:rFonts w:ascii="Times New Roman" w:hAnsi="Times New Roman" w:cs="Times New Roman"/>
        </w:rPr>
        <w:t>, 599–609.</w:t>
      </w:r>
    </w:p>
    <w:p w:rsidR="000B37C7" w:rsidRPr="000B37C7" w:rsidRDefault="000B37C7" w:rsidP="000B37C7">
      <w:pPr>
        <w:pStyle w:val="Bibliography"/>
        <w:rPr>
          <w:rFonts w:ascii="Times New Roman" w:hAnsi="Times New Roman" w:cs="Times New Roman"/>
        </w:rPr>
      </w:pPr>
      <w:r w:rsidRPr="000B37C7">
        <w:rPr>
          <w:rFonts w:ascii="Times New Roman" w:hAnsi="Times New Roman" w:cs="Times New Roman"/>
        </w:rPr>
        <w:t>Ford, B., Deng, W., Clausen, J., Oliver, S., Boden, S., Hemming, M., and Trevaskis, B. (2016). Barley (</w:t>
      </w:r>
      <w:r w:rsidRPr="000B37C7">
        <w:rPr>
          <w:rFonts w:ascii="Times New Roman" w:hAnsi="Times New Roman" w:cs="Times New Roman"/>
          <w:i/>
          <w:iCs/>
        </w:rPr>
        <w:t>Hordeum vulgare</w:t>
      </w:r>
      <w:r w:rsidRPr="000B37C7">
        <w:rPr>
          <w:rFonts w:ascii="Times New Roman" w:hAnsi="Times New Roman" w:cs="Times New Roman"/>
        </w:rPr>
        <w:t xml:space="preserve">) circadian clock genes can respond rapidly to temperature in an EARLY FLOWERING 3-dependent manner. J. Exp. Bot. </w:t>
      </w:r>
      <w:r w:rsidRPr="000B37C7">
        <w:rPr>
          <w:rFonts w:ascii="Times New Roman" w:hAnsi="Times New Roman" w:cs="Times New Roman"/>
          <w:i/>
          <w:iCs/>
        </w:rPr>
        <w:t>67</w:t>
      </w:r>
      <w:r w:rsidRPr="000B37C7">
        <w:rPr>
          <w:rFonts w:ascii="Times New Roman" w:hAnsi="Times New Roman" w:cs="Times New Roman"/>
        </w:rPr>
        <w:t>, 5517–5528.</w:t>
      </w:r>
    </w:p>
    <w:p w:rsidR="000B37C7" w:rsidRPr="000B37C7" w:rsidRDefault="000B37C7" w:rsidP="000B37C7">
      <w:pPr>
        <w:pStyle w:val="Bibliography"/>
        <w:rPr>
          <w:rFonts w:ascii="Times New Roman" w:hAnsi="Times New Roman" w:cs="Times New Roman"/>
        </w:rPr>
      </w:pPr>
      <w:r w:rsidRPr="000B37C7">
        <w:rPr>
          <w:rFonts w:ascii="Times New Roman" w:hAnsi="Times New Roman" w:cs="Times New Roman"/>
        </w:rPr>
        <w:t xml:space="preserve">Fu, D., Szűcs, P., Yan, L., Helguera, M., Skinner, J.S., Zitzewitz, J. von, Hayes, P.M., and Dubcovsky, J. (2005). Large deletions within the first intron in </w:t>
      </w:r>
      <w:r w:rsidRPr="000B37C7">
        <w:rPr>
          <w:rFonts w:ascii="Times New Roman" w:hAnsi="Times New Roman" w:cs="Times New Roman"/>
          <w:i/>
          <w:iCs/>
        </w:rPr>
        <w:t>VRN-1</w:t>
      </w:r>
      <w:r w:rsidRPr="000B37C7">
        <w:rPr>
          <w:rFonts w:ascii="Times New Roman" w:hAnsi="Times New Roman" w:cs="Times New Roman"/>
        </w:rPr>
        <w:t xml:space="preserve"> are associated with spring growth habit in barley and wheat. Mol. Genet. Genomics </w:t>
      </w:r>
      <w:r w:rsidRPr="000B37C7">
        <w:rPr>
          <w:rFonts w:ascii="Times New Roman" w:hAnsi="Times New Roman" w:cs="Times New Roman"/>
          <w:i/>
          <w:iCs/>
        </w:rPr>
        <w:t>273</w:t>
      </w:r>
      <w:r w:rsidRPr="000B37C7">
        <w:rPr>
          <w:rFonts w:ascii="Times New Roman" w:hAnsi="Times New Roman" w:cs="Times New Roman"/>
        </w:rPr>
        <w:t>, 54–65.</w:t>
      </w:r>
    </w:p>
    <w:p w:rsidR="000B37C7" w:rsidRPr="000B37C7" w:rsidRDefault="000B37C7" w:rsidP="000B37C7">
      <w:pPr>
        <w:pStyle w:val="Bibliography"/>
        <w:rPr>
          <w:rFonts w:ascii="Times New Roman" w:hAnsi="Times New Roman" w:cs="Times New Roman"/>
        </w:rPr>
      </w:pPr>
      <w:r w:rsidRPr="000B37C7">
        <w:rPr>
          <w:rFonts w:ascii="Times New Roman" w:hAnsi="Times New Roman" w:cs="Times New Roman"/>
        </w:rPr>
        <w:t xml:space="preserve">Griffiths, S., Dunford, R.P., Coupland, G., and Laurie, D.A. (2003). The Evolution of </w:t>
      </w:r>
      <w:r w:rsidRPr="000B37C7">
        <w:rPr>
          <w:rFonts w:ascii="Times New Roman" w:hAnsi="Times New Roman" w:cs="Times New Roman"/>
          <w:i/>
          <w:iCs/>
        </w:rPr>
        <w:t>CONSTANS-Like</w:t>
      </w:r>
      <w:r w:rsidRPr="000B37C7">
        <w:rPr>
          <w:rFonts w:ascii="Times New Roman" w:hAnsi="Times New Roman" w:cs="Times New Roman"/>
        </w:rPr>
        <w:t xml:space="preserve"> Gene Families in Barley, Rice, and Arabidopsis. Plant Physiol. </w:t>
      </w:r>
      <w:r w:rsidRPr="000B37C7">
        <w:rPr>
          <w:rFonts w:ascii="Times New Roman" w:hAnsi="Times New Roman" w:cs="Times New Roman"/>
          <w:i/>
          <w:iCs/>
        </w:rPr>
        <w:t>131</w:t>
      </w:r>
      <w:r w:rsidRPr="000B37C7">
        <w:rPr>
          <w:rFonts w:ascii="Times New Roman" w:hAnsi="Times New Roman" w:cs="Times New Roman"/>
        </w:rPr>
        <w:t>, 1855–1867.</w:t>
      </w:r>
    </w:p>
    <w:p w:rsidR="000B37C7" w:rsidRPr="000B37C7" w:rsidRDefault="000B37C7" w:rsidP="000B37C7">
      <w:pPr>
        <w:pStyle w:val="Bibliography"/>
        <w:rPr>
          <w:rFonts w:ascii="Times New Roman" w:hAnsi="Times New Roman" w:cs="Times New Roman"/>
        </w:rPr>
      </w:pPr>
      <w:r w:rsidRPr="000B37C7">
        <w:rPr>
          <w:rFonts w:ascii="Times New Roman" w:hAnsi="Times New Roman" w:cs="Times New Roman"/>
        </w:rPr>
        <w:t xml:space="preserve">Houston, K., McKim, S.M., Comadran, J., Bonar, N., Druka, I., Uzrek, N., Cirillo, E., Guzy-Wrobelska, J., Collins, N.C., Halpin, C., et al. (2013). Variation in the interaction between alleles of </w:t>
      </w:r>
      <w:r w:rsidRPr="000B37C7">
        <w:rPr>
          <w:rFonts w:ascii="Times New Roman" w:hAnsi="Times New Roman" w:cs="Times New Roman"/>
          <w:i/>
          <w:iCs/>
        </w:rPr>
        <w:t>HvAPETALA2</w:t>
      </w:r>
      <w:r w:rsidRPr="000B37C7">
        <w:rPr>
          <w:rFonts w:ascii="Times New Roman" w:hAnsi="Times New Roman" w:cs="Times New Roman"/>
        </w:rPr>
        <w:t xml:space="preserve"> and microRNA172 determines the density of grains on the barley inflorescence. Proc. Natl. Acad. Sci. </w:t>
      </w:r>
      <w:r w:rsidRPr="000B37C7">
        <w:rPr>
          <w:rFonts w:ascii="Times New Roman" w:hAnsi="Times New Roman" w:cs="Times New Roman"/>
          <w:i/>
          <w:iCs/>
        </w:rPr>
        <w:t>110</w:t>
      </w:r>
      <w:r w:rsidRPr="000B37C7">
        <w:rPr>
          <w:rFonts w:ascii="Times New Roman" w:hAnsi="Times New Roman" w:cs="Times New Roman"/>
        </w:rPr>
        <w:t>, 16675–16680.</w:t>
      </w:r>
    </w:p>
    <w:p w:rsidR="000B37C7" w:rsidRPr="000B37C7" w:rsidRDefault="000B37C7" w:rsidP="000B37C7">
      <w:pPr>
        <w:pStyle w:val="Bibliography"/>
        <w:rPr>
          <w:rFonts w:ascii="Times New Roman" w:hAnsi="Times New Roman" w:cs="Times New Roman"/>
        </w:rPr>
      </w:pPr>
      <w:r w:rsidRPr="000B37C7">
        <w:rPr>
          <w:rFonts w:ascii="Times New Roman" w:hAnsi="Times New Roman" w:cs="Times New Roman"/>
        </w:rPr>
        <w:t xml:space="preserve">Huang, X., Qian, Q., Liu, Z., Sun, H., He, S., Luo, D., Xia, G., Chu, C., Li, J., and Fu, X. (2009). Natural variation at the </w:t>
      </w:r>
      <w:r w:rsidRPr="000B37C7">
        <w:rPr>
          <w:rFonts w:ascii="Times New Roman" w:hAnsi="Times New Roman" w:cs="Times New Roman"/>
          <w:i/>
          <w:iCs/>
        </w:rPr>
        <w:t>DEP1</w:t>
      </w:r>
      <w:r w:rsidRPr="000B37C7">
        <w:rPr>
          <w:rFonts w:ascii="Times New Roman" w:hAnsi="Times New Roman" w:cs="Times New Roman"/>
        </w:rPr>
        <w:t xml:space="preserve"> locus enhances grain yield in rice. Nat. Genet. </w:t>
      </w:r>
      <w:r w:rsidRPr="000B37C7">
        <w:rPr>
          <w:rFonts w:ascii="Times New Roman" w:hAnsi="Times New Roman" w:cs="Times New Roman"/>
          <w:i/>
          <w:iCs/>
        </w:rPr>
        <w:t>41</w:t>
      </w:r>
      <w:r w:rsidRPr="000B37C7">
        <w:rPr>
          <w:rFonts w:ascii="Times New Roman" w:hAnsi="Times New Roman" w:cs="Times New Roman"/>
        </w:rPr>
        <w:t>, 494–497.</w:t>
      </w:r>
    </w:p>
    <w:p w:rsidR="000B37C7" w:rsidRPr="000B37C7" w:rsidRDefault="000B37C7" w:rsidP="000B37C7">
      <w:pPr>
        <w:pStyle w:val="Bibliography"/>
        <w:rPr>
          <w:rFonts w:ascii="Times New Roman" w:hAnsi="Times New Roman" w:cs="Times New Roman"/>
        </w:rPr>
      </w:pPr>
      <w:r w:rsidRPr="000B37C7">
        <w:rPr>
          <w:rFonts w:ascii="Times New Roman" w:hAnsi="Times New Roman" w:cs="Times New Roman"/>
        </w:rPr>
        <w:t xml:space="preserve">Jost, M., Taketa, S., Mascher, M., Himmelbach, A., Yuo, T., Shahinnia, F., Rutten, T., Druka, A., Schmutzer, T., Steuernagel, B., et al. (2016). A Homolog of Blade-On-Petiole 1 and 2 (BOP1/2) Controls Internode Length and Homeotic Changes of the Barley Inflorescence. Plant Physiol. </w:t>
      </w:r>
      <w:r w:rsidRPr="000B37C7">
        <w:rPr>
          <w:rFonts w:ascii="Times New Roman" w:hAnsi="Times New Roman" w:cs="Times New Roman"/>
          <w:i/>
          <w:iCs/>
        </w:rPr>
        <w:t>171</w:t>
      </w:r>
      <w:r w:rsidRPr="000B37C7">
        <w:rPr>
          <w:rFonts w:ascii="Times New Roman" w:hAnsi="Times New Roman" w:cs="Times New Roman"/>
        </w:rPr>
        <w:t>, 1113–1127.</w:t>
      </w:r>
    </w:p>
    <w:p w:rsidR="000B37C7" w:rsidRPr="000B37C7" w:rsidRDefault="000B37C7" w:rsidP="000B37C7">
      <w:pPr>
        <w:pStyle w:val="Bibliography"/>
        <w:rPr>
          <w:rFonts w:ascii="Times New Roman" w:hAnsi="Times New Roman" w:cs="Times New Roman"/>
        </w:rPr>
      </w:pPr>
      <w:r w:rsidRPr="000B37C7">
        <w:rPr>
          <w:rFonts w:ascii="Times New Roman" w:hAnsi="Times New Roman" w:cs="Times New Roman"/>
        </w:rPr>
        <w:t xml:space="preserve">Kobayashi, K., Yasuno, N., Sato, Y., Yoda, M., Yamazaki, R., Kimizu, M., Yoshida, H., Nagamura, Y., and Kyozuka, J. (2012). Inflorescence meristem identity in rice is specified by overlapping functions of three </w:t>
      </w:r>
      <w:r w:rsidRPr="000B37C7">
        <w:rPr>
          <w:rFonts w:ascii="Times New Roman" w:hAnsi="Times New Roman" w:cs="Times New Roman"/>
          <w:i/>
          <w:iCs/>
        </w:rPr>
        <w:t>AP1/FUL</w:t>
      </w:r>
      <w:r w:rsidRPr="000B37C7">
        <w:rPr>
          <w:rFonts w:ascii="Times New Roman" w:hAnsi="Times New Roman" w:cs="Times New Roman"/>
        </w:rPr>
        <w:t xml:space="preserve">-like MADS box genes and </w:t>
      </w:r>
      <w:r w:rsidRPr="000B37C7">
        <w:rPr>
          <w:rFonts w:ascii="Times New Roman" w:hAnsi="Times New Roman" w:cs="Times New Roman"/>
          <w:i/>
          <w:iCs/>
        </w:rPr>
        <w:t>PAP2</w:t>
      </w:r>
      <w:r w:rsidRPr="000B37C7">
        <w:rPr>
          <w:rFonts w:ascii="Times New Roman" w:hAnsi="Times New Roman" w:cs="Times New Roman"/>
        </w:rPr>
        <w:t xml:space="preserve">, a </w:t>
      </w:r>
      <w:r w:rsidRPr="000B37C7">
        <w:rPr>
          <w:rFonts w:ascii="Times New Roman" w:hAnsi="Times New Roman" w:cs="Times New Roman"/>
          <w:i/>
          <w:iCs/>
        </w:rPr>
        <w:t>SEPALLATA</w:t>
      </w:r>
      <w:r w:rsidRPr="000B37C7">
        <w:rPr>
          <w:rFonts w:ascii="Times New Roman" w:hAnsi="Times New Roman" w:cs="Times New Roman"/>
        </w:rPr>
        <w:t xml:space="preserve"> MADS box gene. Plant Cell </w:t>
      </w:r>
      <w:r w:rsidRPr="000B37C7">
        <w:rPr>
          <w:rFonts w:ascii="Times New Roman" w:hAnsi="Times New Roman" w:cs="Times New Roman"/>
          <w:i/>
          <w:iCs/>
        </w:rPr>
        <w:t>24</w:t>
      </w:r>
      <w:r w:rsidRPr="000B37C7">
        <w:rPr>
          <w:rFonts w:ascii="Times New Roman" w:hAnsi="Times New Roman" w:cs="Times New Roman"/>
        </w:rPr>
        <w:t>, 1848–1859.</w:t>
      </w:r>
    </w:p>
    <w:p w:rsidR="000B37C7" w:rsidRPr="000B37C7" w:rsidRDefault="000B37C7" w:rsidP="000B37C7">
      <w:pPr>
        <w:pStyle w:val="Bibliography"/>
        <w:rPr>
          <w:rFonts w:ascii="Times New Roman" w:hAnsi="Times New Roman" w:cs="Times New Roman"/>
        </w:rPr>
      </w:pPr>
      <w:r w:rsidRPr="000B37C7">
        <w:rPr>
          <w:rFonts w:ascii="Times New Roman" w:hAnsi="Times New Roman" w:cs="Times New Roman"/>
        </w:rPr>
        <w:t xml:space="preserve">Komatsuda, T., Pourkheirandish, M., He, C., Azhaguvel, P., Kanamori, H., Perovic, D., Stein, N., Graner, A., Wicker, T., Tagiri, A., et al. (2007). Six-rowed barley originated from a mutation in a homeodomain-leucine zipper I-class homeobox gene. Proc. Natl. Acad. Sci. </w:t>
      </w:r>
      <w:r w:rsidRPr="000B37C7">
        <w:rPr>
          <w:rFonts w:ascii="Times New Roman" w:hAnsi="Times New Roman" w:cs="Times New Roman"/>
          <w:i/>
          <w:iCs/>
        </w:rPr>
        <w:t>104</w:t>
      </w:r>
      <w:r w:rsidRPr="000B37C7">
        <w:rPr>
          <w:rFonts w:ascii="Times New Roman" w:hAnsi="Times New Roman" w:cs="Times New Roman"/>
        </w:rPr>
        <w:t>, 1424–1429.</w:t>
      </w:r>
    </w:p>
    <w:p w:rsidR="000B37C7" w:rsidRPr="000B37C7" w:rsidRDefault="000B37C7" w:rsidP="000B37C7">
      <w:pPr>
        <w:pStyle w:val="Bibliography"/>
        <w:rPr>
          <w:rFonts w:ascii="Times New Roman" w:hAnsi="Times New Roman" w:cs="Times New Roman"/>
        </w:rPr>
      </w:pPr>
      <w:r w:rsidRPr="000B37C7">
        <w:rPr>
          <w:rFonts w:ascii="Times New Roman" w:hAnsi="Times New Roman" w:cs="Times New Roman"/>
        </w:rPr>
        <w:t xml:space="preserve">Koppolu, R., Anwar, N., Sakuma, S., Tagiri, A., Lundqvist, U., Pourkheirandish, M., Rutten, T., Seiler, C., Himmelbach, A., Ariyadasa, R., et al. (2013). </w:t>
      </w:r>
      <w:r w:rsidRPr="000B37C7">
        <w:rPr>
          <w:rFonts w:ascii="Times New Roman" w:hAnsi="Times New Roman" w:cs="Times New Roman"/>
          <w:i/>
          <w:iCs/>
        </w:rPr>
        <w:t>Six-rowed spike4</w:t>
      </w:r>
      <w:r w:rsidRPr="000B37C7">
        <w:rPr>
          <w:rFonts w:ascii="Times New Roman" w:hAnsi="Times New Roman" w:cs="Times New Roman"/>
        </w:rPr>
        <w:t xml:space="preserve"> (</w:t>
      </w:r>
      <w:r w:rsidRPr="000B37C7">
        <w:rPr>
          <w:rFonts w:ascii="Times New Roman" w:hAnsi="Times New Roman" w:cs="Times New Roman"/>
          <w:i/>
          <w:iCs/>
        </w:rPr>
        <w:t>Vrs4</w:t>
      </w:r>
      <w:r w:rsidRPr="000B37C7">
        <w:rPr>
          <w:rFonts w:ascii="Times New Roman" w:hAnsi="Times New Roman" w:cs="Times New Roman"/>
        </w:rPr>
        <w:t xml:space="preserve">) controls spikelet determinacy and row-type in barley. Proc. Natl. Acad. Sci. </w:t>
      </w:r>
      <w:r w:rsidRPr="000B37C7">
        <w:rPr>
          <w:rFonts w:ascii="Times New Roman" w:hAnsi="Times New Roman" w:cs="Times New Roman"/>
          <w:i/>
          <w:iCs/>
        </w:rPr>
        <w:t>110</w:t>
      </w:r>
      <w:r w:rsidRPr="000B37C7">
        <w:rPr>
          <w:rFonts w:ascii="Times New Roman" w:hAnsi="Times New Roman" w:cs="Times New Roman"/>
        </w:rPr>
        <w:t>, 13198–13203.</w:t>
      </w:r>
    </w:p>
    <w:p w:rsidR="000B37C7" w:rsidRPr="000B37C7" w:rsidRDefault="000B37C7" w:rsidP="000B37C7">
      <w:pPr>
        <w:pStyle w:val="Bibliography"/>
        <w:rPr>
          <w:rFonts w:ascii="Times New Roman" w:hAnsi="Times New Roman" w:cs="Times New Roman"/>
        </w:rPr>
      </w:pPr>
      <w:r w:rsidRPr="000B37C7">
        <w:rPr>
          <w:rFonts w:ascii="Times New Roman" w:hAnsi="Times New Roman" w:cs="Times New Roman"/>
        </w:rPr>
        <w:t>Laurie, D.A., Pratchett, N., Snape, J.W., and Bezant, J.H. (1995). RFLP mapping of five major genes and eight quantitative trait loci controlling flowering time in a winter × spring barley (</w:t>
      </w:r>
      <w:r w:rsidRPr="000B37C7">
        <w:rPr>
          <w:rFonts w:ascii="Times New Roman" w:hAnsi="Times New Roman" w:cs="Times New Roman"/>
          <w:i/>
          <w:iCs/>
        </w:rPr>
        <w:t>Hordeum vulgare</w:t>
      </w:r>
      <w:r w:rsidRPr="000B37C7">
        <w:rPr>
          <w:rFonts w:ascii="Times New Roman" w:hAnsi="Times New Roman" w:cs="Times New Roman"/>
        </w:rPr>
        <w:t xml:space="preserve"> L.) cross. Genome </w:t>
      </w:r>
      <w:r w:rsidRPr="000B37C7">
        <w:rPr>
          <w:rFonts w:ascii="Times New Roman" w:hAnsi="Times New Roman" w:cs="Times New Roman"/>
          <w:i/>
          <w:iCs/>
        </w:rPr>
        <w:t>38</w:t>
      </w:r>
      <w:r w:rsidRPr="000B37C7">
        <w:rPr>
          <w:rFonts w:ascii="Times New Roman" w:hAnsi="Times New Roman" w:cs="Times New Roman"/>
        </w:rPr>
        <w:t>, 575–585.</w:t>
      </w:r>
    </w:p>
    <w:p w:rsidR="000B37C7" w:rsidRPr="000B37C7" w:rsidRDefault="000B37C7" w:rsidP="000B37C7">
      <w:pPr>
        <w:pStyle w:val="Bibliography"/>
        <w:rPr>
          <w:rFonts w:ascii="Times New Roman" w:hAnsi="Times New Roman" w:cs="Times New Roman"/>
        </w:rPr>
      </w:pPr>
      <w:r w:rsidRPr="000B37C7">
        <w:rPr>
          <w:rFonts w:ascii="Times New Roman" w:hAnsi="Times New Roman" w:cs="Times New Roman"/>
        </w:rPr>
        <w:lastRenderedPageBreak/>
        <w:t xml:space="preserve">Li, C., Lin, H., and Dubcovsky, J. (2015). Factorial Combinations of Protein Interactions Generate a Multiplicity of Florigen Activation Complexes in Wheat and Barley. Plant J. Cell Mol. Biol. </w:t>
      </w:r>
      <w:r w:rsidRPr="000B37C7">
        <w:rPr>
          <w:rFonts w:ascii="Times New Roman" w:hAnsi="Times New Roman" w:cs="Times New Roman"/>
          <w:i/>
          <w:iCs/>
        </w:rPr>
        <w:t>84</w:t>
      </w:r>
      <w:r w:rsidRPr="000B37C7">
        <w:rPr>
          <w:rFonts w:ascii="Times New Roman" w:hAnsi="Times New Roman" w:cs="Times New Roman"/>
        </w:rPr>
        <w:t>, 70–82.</w:t>
      </w:r>
    </w:p>
    <w:p w:rsidR="000B37C7" w:rsidRPr="000B37C7" w:rsidRDefault="000B37C7" w:rsidP="000B37C7">
      <w:pPr>
        <w:pStyle w:val="Bibliography"/>
        <w:rPr>
          <w:rFonts w:ascii="Times New Roman" w:hAnsi="Times New Roman" w:cs="Times New Roman"/>
        </w:rPr>
      </w:pPr>
      <w:r w:rsidRPr="000B37C7">
        <w:rPr>
          <w:rFonts w:ascii="Times New Roman" w:hAnsi="Times New Roman" w:cs="Times New Roman"/>
        </w:rPr>
        <w:t xml:space="preserve">Mascher, M., Muehlbauer, G.J., Rokhsar, D.S., Chapman, J., Schmutz, J., Barry, K., Muñoz-Amatriaín, M., Close, T.J., Wise, R.P., Schulman, A.H., et al. (2013). Anchoring and ordering NGS contig assemblies by population sequencing (POPSEQ). Plant J. </w:t>
      </w:r>
      <w:r w:rsidRPr="000B37C7">
        <w:rPr>
          <w:rFonts w:ascii="Times New Roman" w:hAnsi="Times New Roman" w:cs="Times New Roman"/>
          <w:i/>
          <w:iCs/>
        </w:rPr>
        <w:t>76</w:t>
      </w:r>
      <w:r w:rsidRPr="000B37C7">
        <w:rPr>
          <w:rFonts w:ascii="Times New Roman" w:hAnsi="Times New Roman" w:cs="Times New Roman"/>
        </w:rPr>
        <w:t>, 718–727.</w:t>
      </w:r>
    </w:p>
    <w:p w:rsidR="000B37C7" w:rsidRPr="000B37C7" w:rsidRDefault="000B37C7" w:rsidP="000B37C7">
      <w:pPr>
        <w:pStyle w:val="Bibliography"/>
        <w:rPr>
          <w:rFonts w:ascii="Times New Roman" w:hAnsi="Times New Roman" w:cs="Times New Roman"/>
        </w:rPr>
      </w:pPr>
      <w:r w:rsidRPr="000B37C7">
        <w:rPr>
          <w:rFonts w:ascii="Times New Roman" w:hAnsi="Times New Roman" w:cs="Times New Roman"/>
        </w:rPr>
        <w:t xml:space="preserve">Mascher, M., Jost, M., Kuon, J.-E., Himmelbach, A., Aßfalg, A., Beier, S., Scholz, U., Graner, A., and Stein, N. (2014). Mapping-by-sequencing accelerates forward genetics in barley. Genome Biol. </w:t>
      </w:r>
      <w:r w:rsidRPr="000B37C7">
        <w:rPr>
          <w:rFonts w:ascii="Times New Roman" w:hAnsi="Times New Roman" w:cs="Times New Roman"/>
          <w:i/>
          <w:iCs/>
        </w:rPr>
        <w:t>15</w:t>
      </w:r>
      <w:r w:rsidRPr="000B37C7">
        <w:rPr>
          <w:rFonts w:ascii="Times New Roman" w:hAnsi="Times New Roman" w:cs="Times New Roman"/>
        </w:rPr>
        <w:t>, 1–15.</w:t>
      </w:r>
    </w:p>
    <w:p w:rsidR="000B37C7" w:rsidRPr="000B37C7" w:rsidRDefault="000B37C7" w:rsidP="000B37C7">
      <w:pPr>
        <w:pStyle w:val="Bibliography"/>
        <w:rPr>
          <w:rFonts w:ascii="Times New Roman" w:hAnsi="Times New Roman" w:cs="Times New Roman"/>
        </w:rPr>
      </w:pPr>
      <w:r w:rsidRPr="000B37C7">
        <w:rPr>
          <w:rFonts w:ascii="Times New Roman" w:hAnsi="Times New Roman" w:cs="Times New Roman"/>
        </w:rPr>
        <w:t xml:space="preserve">Mascher, M., Gundlach, H., Himmelbach, A., Beier, S., Twardziok, S.O., Wicker, T., Radchuk, V., Dockter, C., Hedley, P.E., Russell, J., et al. (2017). A chromosome conformation capture ordered sequence of the barley genome. Nature </w:t>
      </w:r>
      <w:r w:rsidRPr="000B37C7">
        <w:rPr>
          <w:rFonts w:ascii="Times New Roman" w:hAnsi="Times New Roman" w:cs="Times New Roman"/>
          <w:i/>
          <w:iCs/>
        </w:rPr>
        <w:t>544</w:t>
      </w:r>
      <w:r w:rsidRPr="000B37C7">
        <w:rPr>
          <w:rFonts w:ascii="Times New Roman" w:hAnsi="Times New Roman" w:cs="Times New Roman"/>
        </w:rPr>
        <w:t>, 427–433.</w:t>
      </w:r>
    </w:p>
    <w:p w:rsidR="000B37C7" w:rsidRPr="000B37C7" w:rsidRDefault="000B37C7" w:rsidP="000B37C7">
      <w:pPr>
        <w:pStyle w:val="Bibliography"/>
        <w:rPr>
          <w:rFonts w:ascii="Times New Roman" w:hAnsi="Times New Roman" w:cs="Times New Roman"/>
        </w:rPr>
      </w:pPr>
      <w:r w:rsidRPr="000B37C7">
        <w:rPr>
          <w:rFonts w:ascii="Times New Roman" w:hAnsi="Times New Roman" w:cs="Times New Roman"/>
        </w:rPr>
        <w:t xml:space="preserve">Okagaki, R.J., Cho, S., Kruger, W.M., Xu, W.W., Heinen, S., and Muehlbauer, G.J. (2013). The barley </w:t>
      </w:r>
      <w:r w:rsidRPr="000B37C7">
        <w:rPr>
          <w:rFonts w:ascii="Times New Roman" w:hAnsi="Times New Roman" w:cs="Times New Roman"/>
          <w:i/>
          <w:iCs/>
        </w:rPr>
        <w:t>UNICULM2</w:t>
      </w:r>
      <w:r w:rsidRPr="000B37C7">
        <w:rPr>
          <w:rFonts w:ascii="Times New Roman" w:hAnsi="Times New Roman" w:cs="Times New Roman"/>
        </w:rPr>
        <w:t xml:space="preserve"> gene resides in a centromeric region and may be associated with signaling and stress responses. Funct. Integr. Genomics </w:t>
      </w:r>
      <w:r w:rsidRPr="000B37C7">
        <w:rPr>
          <w:rFonts w:ascii="Times New Roman" w:hAnsi="Times New Roman" w:cs="Times New Roman"/>
          <w:i/>
          <w:iCs/>
        </w:rPr>
        <w:t>13</w:t>
      </w:r>
      <w:r w:rsidRPr="000B37C7">
        <w:rPr>
          <w:rFonts w:ascii="Times New Roman" w:hAnsi="Times New Roman" w:cs="Times New Roman"/>
        </w:rPr>
        <w:t>, 33–41.</w:t>
      </w:r>
    </w:p>
    <w:p w:rsidR="000B37C7" w:rsidRPr="000B37C7" w:rsidRDefault="000B37C7" w:rsidP="000B37C7">
      <w:pPr>
        <w:pStyle w:val="Bibliography"/>
        <w:rPr>
          <w:rFonts w:ascii="Times New Roman" w:hAnsi="Times New Roman" w:cs="Times New Roman"/>
        </w:rPr>
      </w:pPr>
      <w:r w:rsidRPr="000B37C7">
        <w:rPr>
          <w:rFonts w:ascii="Times New Roman" w:hAnsi="Times New Roman" w:cs="Times New Roman"/>
        </w:rPr>
        <w:t xml:space="preserve">Okagaki, R.J., Haaning, A., Bilgic, H., Heinen, S., Druka, A., Bayer, M., Waugh, R., and Muehlbauer, G.J. (2018). ELIGULUM-A regulates lateral branch and leaf development in barley. Plant Physiol. </w:t>
      </w:r>
      <w:r w:rsidRPr="000B37C7">
        <w:rPr>
          <w:rFonts w:ascii="Times New Roman" w:hAnsi="Times New Roman" w:cs="Times New Roman"/>
          <w:i/>
          <w:iCs/>
        </w:rPr>
        <w:t>176</w:t>
      </w:r>
      <w:r w:rsidRPr="000B37C7">
        <w:rPr>
          <w:rFonts w:ascii="Times New Roman" w:hAnsi="Times New Roman" w:cs="Times New Roman"/>
        </w:rPr>
        <w:t>, 2750–2760.</w:t>
      </w:r>
    </w:p>
    <w:p w:rsidR="000B37C7" w:rsidRPr="000B37C7" w:rsidRDefault="000B37C7" w:rsidP="000B37C7">
      <w:pPr>
        <w:pStyle w:val="Bibliography"/>
        <w:rPr>
          <w:rFonts w:ascii="Times New Roman" w:hAnsi="Times New Roman" w:cs="Times New Roman"/>
        </w:rPr>
      </w:pPr>
      <w:r w:rsidRPr="000B37C7">
        <w:rPr>
          <w:rFonts w:ascii="Times New Roman" w:hAnsi="Times New Roman" w:cs="Times New Roman"/>
        </w:rPr>
        <w:t xml:space="preserve">Ramsay, L., Comadran, J., Druka, A., Marshall, D.F., Thomas, W.T.B., Macaulay, M., MacKenzie, K., Simpson, C., Fuller, J., Bonar, N., et al. (2011). </w:t>
      </w:r>
      <w:r w:rsidRPr="000B37C7">
        <w:rPr>
          <w:rFonts w:ascii="Times New Roman" w:hAnsi="Times New Roman" w:cs="Times New Roman"/>
          <w:i/>
          <w:iCs/>
        </w:rPr>
        <w:t>INTERMEDIUM-C</w:t>
      </w:r>
      <w:r w:rsidRPr="000B37C7">
        <w:rPr>
          <w:rFonts w:ascii="Times New Roman" w:hAnsi="Times New Roman" w:cs="Times New Roman"/>
        </w:rPr>
        <w:t xml:space="preserve">, a modifier of lateral spikelet fertility in barley, is an ortholog of the maize domestication gene </w:t>
      </w:r>
      <w:r w:rsidRPr="000B37C7">
        <w:rPr>
          <w:rFonts w:ascii="Times New Roman" w:hAnsi="Times New Roman" w:cs="Times New Roman"/>
          <w:i/>
          <w:iCs/>
        </w:rPr>
        <w:t>TEOSINTE BRANCHED 1</w:t>
      </w:r>
      <w:r w:rsidRPr="000B37C7">
        <w:rPr>
          <w:rFonts w:ascii="Times New Roman" w:hAnsi="Times New Roman" w:cs="Times New Roman"/>
        </w:rPr>
        <w:t xml:space="preserve">. Nat. Genet. </w:t>
      </w:r>
      <w:r w:rsidRPr="000B37C7">
        <w:rPr>
          <w:rFonts w:ascii="Times New Roman" w:hAnsi="Times New Roman" w:cs="Times New Roman"/>
          <w:i/>
          <w:iCs/>
        </w:rPr>
        <w:t>43</w:t>
      </w:r>
      <w:r w:rsidRPr="000B37C7">
        <w:rPr>
          <w:rFonts w:ascii="Times New Roman" w:hAnsi="Times New Roman" w:cs="Times New Roman"/>
        </w:rPr>
        <w:t>, 169–172.</w:t>
      </w:r>
    </w:p>
    <w:p w:rsidR="000B37C7" w:rsidRPr="000B37C7" w:rsidRDefault="000B37C7" w:rsidP="000B37C7">
      <w:pPr>
        <w:pStyle w:val="Bibliography"/>
        <w:rPr>
          <w:rFonts w:ascii="Times New Roman" w:hAnsi="Times New Roman" w:cs="Times New Roman"/>
        </w:rPr>
      </w:pPr>
      <w:r w:rsidRPr="000B37C7">
        <w:rPr>
          <w:rFonts w:ascii="Times New Roman" w:hAnsi="Times New Roman" w:cs="Times New Roman"/>
        </w:rPr>
        <w:t xml:space="preserve">Russell, J., Mascher, M., Dawson, I.K., Kyriakidis, S., Calixto, C., Freund, F., Bayer, M., Milne, I., Marshall-Griffiths, T., Heinen, S., et al. (2016). Exome sequencing of geographically diverse barley landraces and wild relatives gives insights into environmental adaptation. Nat. Genet. </w:t>
      </w:r>
      <w:r w:rsidRPr="000B37C7">
        <w:rPr>
          <w:rFonts w:ascii="Times New Roman" w:hAnsi="Times New Roman" w:cs="Times New Roman"/>
          <w:i/>
          <w:iCs/>
        </w:rPr>
        <w:t>48</w:t>
      </w:r>
      <w:r w:rsidRPr="000B37C7">
        <w:rPr>
          <w:rFonts w:ascii="Times New Roman" w:hAnsi="Times New Roman" w:cs="Times New Roman"/>
        </w:rPr>
        <w:t>, 1024–1030.</w:t>
      </w:r>
    </w:p>
    <w:p w:rsidR="000B37C7" w:rsidRPr="000B37C7" w:rsidRDefault="000B37C7" w:rsidP="000B37C7">
      <w:pPr>
        <w:pStyle w:val="Bibliography"/>
        <w:rPr>
          <w:rFonts w:ascii="Times New Roman" w:hAnsi="Times New Roman" w:cs="Times New Roman"/>
        </w:rPr>
      </w:pPr>
      <w:r w:rsidRPr="000B37C7">
        <w:rPr>
          <w:rFonts w:ascii="Times New Roman" w:hAnsi="Times New Roman" w:cs="Times New Roman"/>
        </w:rPr>
        <w:t xml:space="preserve">Schmitz, J., Franzen, R., Ngyuen, T.H., Garcia-Maroto, F., Pozzi, C., Salamini, F., and Rohde, W. (2000). Cloning, mapping and expression analysis of barley </w:t>
      </w:r>
      <w:r w:rsidRPr="000B37C7">
        <w:rPr>
          <w:rFonts w:ascii="Times New Roman" w:hAnsi="Times New Roman" w:cs="Times New Roman"/>
          <w:i/>
          <w:iCs/>
        </w:rPr>
        <w:t>MADS-box</w:t>
      </w:r>
      <w:r w:rsidRPr="000B37C7">
        <w:rPr>
          <w:rFonts w:ascii="Times New Roman" w:hAnsi="Times New Roman" w:cs="Times New Roman"/>
        </w:rPr>
        <w:t xml:space="preserve"> genes. Plant Mol. Biol. </w:t>
      </w:r>
      <w:r w:rsidRPr="000B37C7">
        <w:rPr>
          <w:rFonts w:ascii="Times New Roman" w:hAnsi="Times New Roman" w:cs="Times New Roman"/>
          <w:i/>
          <w:iCs/>
        </w:rPr>
        <w:t>42</w:t>
      </w:r>
      <w:r w:rsidRPr="000B37C7">
        <w:rPr>
          <w:rFonts w:ascii="Times New Roman" w:hAnsi="Times New Roman" w:cs="Times New Roman"/>
        </w:rPr>
        <w:t>, 899–913.</w:t>
      </w:r>
    </w:p>
    <w:p w:rsidR="000B37C7" w:rsidRPr="000B37C7" w:rsidRDefault="000B37C7" w:rsidP="000B37C7">
      <w:pPr>
        <w:pStyle w:val="Bibliography"/>
        <w:rPr>
          <w:rFonts w:ascii="Times New Roman" w:hAnsi="Times New Roman" w:cs="Times New Roman"/>
        </w:rPr>
      </w:pPr>
      <w:r w:rsidRPr="000B37C7">
        <w:rPr>
          <w:rFonts w:ascii="Times New Roman" w:hAnsi="Times New Roman" w:cs="Times New Roman"/>
        </w:rPr>
        <w:t xml:space="preserve">Tavakol, E., Okagaki, R., Verderio, G., J, V.S., Hussien, A., Bilgic, H., Scanlon, M.J., Todt, N.R., Close, T.J., Druka, A., et al. (2015). The Barley </w:t>
      </w:r>
      <w:r w:rsidRPr="000B37C7">
        <w:rPr>
          <w:rFonts w:ascii="Times New Roman" w:hAnsi="Times New Roman" w:cs="Times New Roman"/>
          <w:i/>
          <w:iCs/>
        </w:rPr>
        <w:t>Uniculme4</w:t>
      </w:r>
      <w:r w:rsidRPr="000B37C7">
        <w:rPr>
          <w:rFonts w:ascii="Times New Roman" w:hAnsi="Times New Roman" w:cs="Times New Roman"/>
        </w:rPr>
        <w:t xml:space="preserve"> Gene Encodes a BLADE-ON-PETIOLE-Like Protein That Controls Tillering and Leaf Patterning. Plant Physiol. </w:t>
      </w:r>
      <w:r w:rsidRPr="000B37C7">
        <w:rPr>
          <w:rFonts w:ascii="Times New Roman" w:hAnsi="Times New Roman" w:cs="Times New Roman"/>
          <w:i/>
          <w:iCs/>
        </w:rPr>
        <w:t>168</w:t>
      </w:r>
      <w:r w:rsidRPr="000B37C7">
        <w:rPr>
          <w:rFonts w:ascii="Times New Roman" w:hAnsi="Times New Roman" w:cs="Times New Roman"/>
        </w:rPr>
        <w:t>, 164–174.</w:t>
      </w:r>
    </w:p>
    <w:p w:rsidR="000B37C7" w:rsidRPr="000B37C7" w:rsidRDefault="000B37C7" w:rsidP="000B37C7">
      <w:pPr>
        <w:pStyle w:val="Bibliography"/>
        <w:rPr>
          <w:rFonts w:ascii="Times New Roman" w:hAnsi="Times New Roman" w:cs="Times New Roman"/>
        </w:rPr>
      </w:pPr>
      <w:r w:rsidRPr="000B37C7">
        <w:rPr>
          <w:rFonts w:ascii="Times New Roman" w:hAnsi="Times New Roman" w:cs="Times New Roman"/>
        </w:rPr>
        <w:t xml:space="preserve">Turner, A., Beales, J., Faure, S., Dunford, R.P., and Laurie, D.A. (2005). The Pseudo-Response Regulator Ppd-H1 Provides Adaptation to Photoperiod in Barley. Science </w:t>
      </w:r>
      <w:r w:rsidRPr="000B37C7">
        <w:rPr>
          <w:rFonts w:ascii="Times New Roman" w:hAnsi="Times New Roman" w:cs="Times New Roman"/>
          <w:i/>
          <w:iCs/>
        </w:rPr>
        <w:t>310</w:t>
      </w:r>
      <w:r w:rsidRPr="000B37C7">
        <w:rPr>
          <w:rFonts w:ascii="Times New Roman" w:hAnsi="Times New Roman" w:cs="Times New Roman"/>
        </w:rPr>
        <w:t>, 1031–1034.</w:t>
      </w:r>
    </w:p>
    <w:p w:rsidR="001C3802" w:rsidRPr="001C3802" w:rsidRDefault="000B37C7" w:rsidP="007D157E">
      <w:pPr>
        <w:pStyle w:val="Bibliography"/>
        <w:rPr>
          <w:rFonts w:asciiTheme="majorHAnsi" w:hAnsiTheme="majorHAnsi" w:cstheme="majorHAnsi"/>
        </w:rPr>
      </w:pPr>
      <w:r w:rsidRPr="000B37C7">
        <w:rPr>
          <w:rFonts w:ascii="Times New Roman" w:hAnsi="Times New Roman" w:cs="Times New Roman"/>
        </w:rPr>
        <w:t xml:space="preserve">Yan, L., Fu, D., Li, C., Blechl, A., Tranquilli, G., Bonafede, M., Sanchez, A., Valarik, M., Yasuda, S., and Dubcovsky, J. (2006). The wheat and barley vernalization gene </w:t>
      </w:r>
      <w:r w:rsidRPr="000B37C7">
        <w:rPr>
          <w:rFonts w:ascii="Times New Roman" w:hAnsi="Times New Roman" w:cs="Times New Roman"/>
          <w:i/>
          <w:iCs/>
        </w:rPr>
        <w:t>VRN3</w:t>
      </w:r>
      <w:r w:rsidRPr="000B37C7">
        <w:rPr>
          <w:rFonts w:ascii="Times New Roman" w:hAnsi="Times New Roman" w:cs="Times New Roman"/>
        </w:rPr>
        <w:t xml:space="preserve"> is an orthologue of </w:t>
      </w:r>
      <w:r w:rsidRPr="000B37C7">
        <w:rPr>
          <w:rFonts w:ascii="Times New Roman" w:hAnsi="Times New Roman" w:cs="Times New Roman"/>
          <w:i/>
          <w:iCs/>
        </w:rPr>
        <w:t>FT</w:t>
      </w:r>
      <w:r w:rsidRPr="000B37C7">
        <w:rPr>
          <w:rFonts w:ascii="Times New Roman" w:hAnsi="Times New Roman" w:cs="Times New Roman"/>
        </w:rPr>
        <w:t xml:space="preserve">. Proc. Natl. Acad. Sci. </w:t>
      </w:r>
      <w:r w:rsidRPr="000B37C7">
        <w:rPr>
          <w:rFonts w:ascii="Times New Roman" w:hAnsi="Times New Roman" w:cs="Times New Roman"/>
          <w:i/>
          <w:iCs/>
        </w:rPr>
        <w:t>103</w:t>
      </w:r>
      <w:r w:rsidRPr="000B37C7">
        <w:rPr>
          <w:rFonts w:ascii="Times New Roman" w:hAnsi="Times New Roman" w:cs="Times New Roman"/>
        </w:rPr>
        <w:t>, 19581–19586.</w:t>
      </w:r>
      <w:r w:rsidR="001C3802">
        <w:rPr>
          <w:rFonts w:asciiTheme="majorHAnsi" w:hAnsiTheme="majorHAnsi" w:cstheme="majorHAnsi"/>
        </w:rPr>
        <w:fldChar w:fldCharType="end"/>
      </w:r>
    </w:p>
    <w:sectPr w:rsidR="001C3802" w:rsidRPr="001C3802" w:rsidSect="001C3802">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2D0150"/>
    <w:multiLevelType w:val="multilevel"/>
    <w:tmpl w:val="0409001D"/>
    <w:styleLink w:val="AHNumbered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345D0CC9"/>
    <w:multiLevelType w:val="multilevel"/>
    <w:tmpl w:val="D3D4E778"/>
    <w:styleLink w:val="AHNumbered"/>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802"/>
    <w:rsid w:val="000B37C7"/>
    <w:rsid w:val="001C3802"/>
    <w:rsid w:val="00261736"/>
    <w:rsid w:val="0029524E"/>
    <w:rsid w:val="003B3687"/>
    <w:rsid w:val="0054616F"/>
    <w:rsid w:val="005E5F0C"/>
    <w:rsid w:val="0067620A"/>
    <w:rsid w:val="006F1B41"/>
    <w:rsid w:val="007D157E"/>
    <w:rsid w:val="00855350"/>
    <w:rsid w:val="009E7BA5"/>
    <w:rsid w:val="00A76CC6"/>
    <w:rsid w:val="00B914B8"/>
    <w:rsid w:val="00BC461C"/>
    <w:rsid w:val="00BF0E34"/>
    <w:rsid w:val="00C16B01"/>
    <w:rsid w:val="00C67B56"/>
    <w:rsid w:val="00D201C8"/>
    <w:rsid w:val="00ED20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B174D2"/>
  <w15:chartTrackingRefBased/>
  <w15:docId w15:val="{9FDBF7DE-BC3C-4842-9B65-BEC5C6CF5D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173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61736"/>
    <w:pPr>
      <w:spacing w:after="0" w:line="240" w:lineRule="auto"/>
    </w:pPr>
  </w:style>
  <w:style w:type="paragraph" w:styleId="ListParagraph">
    <w:name w:val="List Paragraph"/>
    <w:basedOn w:val="Normal"/>
    <w:uiPriority w:val="34"/>
    <w:qFormat/>
    <w:rsid w:val="00261736"/>
    <w:pPr>
      <w:ind w:left="720"/>
      <w:contextualSpacing/>
    </w:pPr>
  </w:style>
  <w:style w:type="numbering" w:customStyle="1" w:styleId="AHNumbered">
    <w:name w:val="AH Numbered"/>
    <w:uiPriority w:val="99"/>
    <w:rsid w:val="006F1B41"/>
    <w:pPr>
      <w:numPr>
        <w:numId w:val="1"/>
      </w:numPr>
    </w:pPr>
  </w:style>
  <w:style w:type="numbering" w:customStyle="1" w:styleId="AHNumbered2">
    <w:name w:val="AH Numbered2"/>
    <w:uiPriority w:val="99"/>
    <w:rsid w:val="006F1B41"/>
    <w:pPr>
      <w:numPr>
        <w:numId w:val="2"/>
      </w:numPr>
    </w:pPr>
  </w:style>
  <w:style w:type="paragraph" w:customStyle="1" w:styleId="SuppTable">
    <w:name w:val="Supp_Table"/>
    <w:basedOn w:val="Normal"/>
    <w:link w:val="SuppTableChar"/>
    <w:qFormat/>
    <w:rsid w:val="00BF0E34"/>
    <w:pPr>
      <w:spacing w:after="160" w:line="259" w:lineRule="auto"/>
    </w:pPr>
    <w:rPr>
      <w:rFonts w:ascii="Times New Roman" w:hAnsi="Times New Roman" w:cs="Times New Roman"/>
      <w:b/>
      <w:sz w:val="24"/>
      <w:szCs w:val="24"/>
    </w:rPr>
  </w:style>
  <w:style w:type="character" w:customStyle="1" w:styleId="SuppTableChar">
    <w:name w:val="Supp_Table Char"/>
    <w:basedOn w:val="DefaultParagraphFont"/>
    <w:link w:val="SuppTable"/>
    <w:rsid w:val="00BF0E34"/>
    <w:rPr>
      <w:rFonts w:ascii="Times New Roman" w:hAnsi="Times New Roman" w:cs="Times New Roman"/>
      <w:b/>
      <w:sz w:val="24"/>
      <w:szCs w:val="24"/>
    </w:rPr>
  </w:style>
  <w:style w:type="paragraph" w:styleId="Bibliography">
    <w:name w:val="Bibliography"/>
    <w:basedOn w:val="Normal"/>
    <w:next w:val="Normal"/>
    <w:uiPriority w:val="37"/>
    <w:unhideWhenUsed/>
    <w:rsid w:val="001C3802"/>
    <w:pPr>
      <w:spacing w:after="24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imes New Roman-Arial">
      <a:maj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rial" panose="020B0604020202020204"/>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6</Pages>
  <Words>20919</Words>
  <Characters>119239</Characters>
  <Application>Microsoft Office Word</Application>
  <DocSecurity>0</DocSecurity>
  <Lines>993</Lines>
  <Paragraphs>279</Paragraphs>
  <ScaleCrop>false</ScaleCrop>
  <HeadingPairs>
    <vt:vector size="2" baseType="variant">
      <vt:variant>
        <vt:lpstr>Title</vt:lpstr>
      </vt:variant>
      <vt:variant>
        <vt:i4>1</vt:i4>
      </vt:variant>
    </vt:vector>
  </HeadingPairs>
  <TitlesOfParts>
    <vt:vector size="1" baseType="lpstr">
      <vt:lpstr/>
    </vt:vector>
  </TitlesOfParts>
  <Company>University of Minnesota</Company>
  <LinksUpToDate>false</LinksUpToDate>
  <CharactersWithSpaces>139879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Allison M Haaning</dc:creator>
  <cp:keywords/>
  <dc:description/>
  <cp:lastModifiedBy>Allison M Haaning</cp:lastModifiedBy>
  <cp:revision>6</cp:revision>
  <dcterms:created xsi:type="dcterms:W3CDTF">2019-06-25T16:07:00Z</dcterms:created>
  <dcterms:modified xsi:type="dcterms:W3CDTF">2019-08-05T19:57:00Z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zotero-version="5.0.68"&gt;&lt;session id="T1QoHQDU"/&gt;&lt;style id="http://www.zotero.org/styles/cell" hasBibliography="1" bibliographyStyleHasBeenSet="1"/&gt;&lt;prefs&gt;&lt;pref name="fieldType" value="Field"/&gt;&lt;pref name="automaticJournalAbbreviation</vt:lpwstr>
  </property>
  <property fmtid="{D5CDD505-2E9C-101B-9397-08002B2CF9AE}" pid="3" name="ZOTERO_PREF_2">
    <vt:lpwstr>s" value="true"/&gt;&lt;/prefs&gt;&lt;/data&gt;</vt:lpwstr>
  </property>
</Properties>
</file>