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Heading1"/>
        <w:spacing w:after="0" w:before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SUPPLEMENTARY FIGURES AND TABLES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bookmarkStart w:colFirst="0" w:colLast="0" w:name="_vxxzzxajnue2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Dissecting adaptive traits with nested association mapping: Genetic architecture of inflorescence morphology in sorghum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4"/>
          <w:szCs w:val="24"/>
          <w:vertAlign w:val="superscript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Marcus O. Olatoye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*,1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Sandeep R. Marla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*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Zhenbin Hu, Sophie Bouchet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*,1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Ramasamy Perumal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*,†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and Geoffrey P. Morris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*,3</w:t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sz w:val="24"/>
          <w:szCs w:val="24"/>
          <w:vertAlign w:val="superscrip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*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Department of Agronomy, Kansas State University, Manhattan, Kansas 66506</w:t>
      </w:r>
    </w:p>
    <w:p w:rsidR="00000000" w:rsidDel="00000000" w:rsidP="00000000" w:rsidRDefault="00000000" w:rsidRPr="00000000" w14:paraId="0000000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†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Kansas State University, Agricultural Research Center, Hays, Kansas 67601</w:t>
      </w:r>
    </w:p>
    <w:p w:rsidR="00000000" w:rsidDel="00000000" w:rsidP="00000000" w:rsidRDefault="00000000" w:rsidRPr="00000000" w14:paraId="0000000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1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Current address:  Department of Crop Science, University of Illinois at Urbana-Champaign, IL 61801</w:t>
      </w:r>
    </w:p>
    <w:p w:rsidR="00000000" w:rsidDel="00000000" w:rsidP="00000000" w:rsidRDefault="00000000" w:rsidRPr="00000000" w14:paraId="0000000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2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Current address: GDEC, INRA, UBP, 63039, Clermont-Ferrand, France.</w:t>
      </w:r>
    </w:p>
    <w:p w:rsidR="00000000" w:rsidDel="00000000" w:rsidP="00000000" w:rsidRDefault="00000000" w:rsidRPr="00000000" w14:paraId="0000000B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  <w:rtl w:val="0"/>
        </w:rPr>
        <w:t xml:space="preserve">3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Corresponding author: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sz w:val="24"/>
            <w:szCs w:val="24"/>
            <w:u w:val="single"/>
            <w:rtl w:val="0"/>
          </w:rPr>
          <w:t xml:space="preserve">gpmorris@k-state.edu</w:t>
        </w:r>
      </w:hyperlink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Table S1: The sorghum NAM founders, their origin, and number of RILs used for each family.</w:t>
      </w:r>
    </w:p>
    <w:p w:rsidR="00000000" w:rsidDel="00000000" w:rsidP="00000000" w:rsidRDefault="00000000" w:rsidRPr="00000000" w14:paraId="0000000D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7215.0" w:type="dxa"/>
        <w:jc w:val="left"/>
        <w:tblInd w:w="900.0" w:type="dxa"/>
        <w:tblBorders>
          <w:top w:color="000000" w:space="0" w:sz="4" w:val="single"/>
          <w:left w:color="000000" w:space="0" w:sz="0" w:val="nil"/>
          <w:bottom w:color="000000" w:space="0" w:sz="4" w:val="single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1245"/>
        <w:gridCol w:w="2730"/>
        <w:gridCol w:w="2160"/>
        <w:gridCol w:w="1080"/>
        <w:tblGridChange w:id="0">
          <w:tblGrid>
            <w:gridCol w:w="1245"/>
            <w:gridCol w:w="2730"/>
            <w:gridCol w:w="2160"/>
            <w:gridCol w:w="1080"/>
          </w:tblGrid>
        </w:tblGridChange>
      </w:tblGrid>
      <w:t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E">
            <w:pPr>
              <w:rPr>
                <w:rFonts w:ascii="Times New Roman" w:cs="Times New Roman" w:eastAsia="Times New Roman" w:hAnsi="Times New Roman"/>
                <w:b w:val="1"/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Founder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0F">
            <w:pPr>
              <w:keepNext w:val="1"/>
              <w:keepLines w:val="1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Origin</w:t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10">
            <w:pPr>
              <w:keepNext w:val="1"/>
              <w:keepLines w:val="1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Founder Type</w:t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11">
            <w:pPr>
              <w:keepNext w:val="1"/>
              <w:keepLines w:val="1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RILs</w:t>
            </w:r>
          </w:p>
        </w:tc>
      </w:tr>
      <w:tr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12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RTx430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13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Texas A &amp; M University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14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Common Parent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15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-</w:t>
            </w:r>
          </w:p>
        </w:tc>
      </w:tr>
      <w:tr>
        <w:tc>
          <w:tcPr/>
          <w:p w:rsidR="00000000" w:rsidDel="00000000" w:rsidP="00000000" w:rsidRDefault="00000000" w:rsidRPr="00000000" w14:paraId="00000016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P898012</w:t>
            </w:r>
          </w:p>
        </w:tc>
        <w:tc>
          <w:tcPr/>
          <w:p w:rsidR="00000000" w:rsidDel="00000000" w:rsidP="00000000" w:rsidRDefault="00000000" w:rsidRPr="00000000" w14:paraId="00000017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Purdue University</w:t>
            </w:r>
          </w:p>
        </w:tc>
        <w:tc>
          <w:tcPr/>
          <w:p w:rsidR="00000000" w:rsidDel="00000000" w:rsidP="00000000" w:rsidRDefault="00000000" w:rsidRPr="00000000" w14:paraId="00000018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19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213</w:t>
            </w:r>
          </w:p>
        </w:tc>
      </w:tr>
      <w:tr>
        <w:tc>
          <w:tcPr/>
          <w:p w:rsidR="00000000" w:rsidDel="00000000" w:rsidP="00000000" w:rsidRDefault="00000000" w:rsidRPr="00000000" w14:paraId="0000001A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Ajabsido</w:t>
            </w:r>
          </w:p>
        </w:tc>
        <w:tc>
          <w:tcPr/>
          <w:p w:rsidR="00000000" w:rsidDel="00000000" w:rsidP="00000000" w:rsidRDefault="00000000" w:rsidRPr="00000000" w14:paraId="0000001B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Sudan</w:t>
            </w:r>
          </w:p>
        </w:tc>
        <w:tc>
          <w:tcPr/>
          <w:p w:rsidR="00000000" w:rsidDel="00000000" w:rsidP="00000000" w:rsidRDefault="00000000" w:rsidRPr="00000000" w14:paraId="0000001C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1D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214</w:t>
            </w:r>
          </w:p>
        </w:tc>
      </w:tr>
      <w:tr>
        <w:tc>
          <w:tcPr/>
          <w:p w:rsidR="00000000" w:rsidDel="00000000" w:rsidP="00000000" w:rsidRDefault="00000000" w:rsidRPr="00000000" w14:paraId="0000001E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Macia</w:t>
            </w:r>
          </w:p>
        </w:tc>
        <w:tc>
          <w:tcPr/>
          <w:p w:rsidR="00000000" w:rsidDel="00000000" w:rsidP="00000000" w:rsidRDefault="00000000" w:rsidRPr="00000000" w14:paraId="0000001F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ICRISAT</w:t>
            </w:r>
          </w:p>
        </w:tc>
        <w:tc>
          <w:tcPr/>
          <w:p w:rsidR="00000000" w:rsidDel="00000000" w:rsidP="00000000" w:rsidRDefault="00000000" w:rsidRPr="00000000" w14:paraId="00000020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21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231</w:t>
            </w:r>
          </w:p>
        </w:tc>
      </w:tr>
      <w:tr>
        <w:tc>
          <w:tcPr/>
          <w:p w:rsidR="00000000" w:rsidDel="00000000" w:rsidP="00000000" w:rsidRDefault="00000000" w:rsidRPr="00000000" w14:paraId="00000022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SC1103</w:t>
            </w:r>
          </w:p>
        </w:tc>
        <w:tc>
          <w:tcPr/>
          <w:p w:rsidR="00000000" w:rsidDel="00000000" w:rsidP="00000000" w:rsidRDefault="00000000" w:rsidRPr="00000000" w14:paraId="00000023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Nigeria</w:t>
            </w:r>
          </w:p>
        </w:tc>
        <w:tc>
          <w:tcPr/>
          <w:p w:rsidR="00000000" w:rsidDel="00000000" w:rsidP="00000000" w:rsidRDefault="00000000" w:rsidRPr="00000000" w14:paraId="00000024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25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231</w:t>
            </w:r>
          </w:p>
        </w:tc>
      </w:tr>
      <w:tr>
        <w:tc>
          <w:tcPr/>
          <w:p w:rsidR="00000000" w:rsidDel="00000000" w:rsidP="00000000" w:rsidRDefault="00000000" w:rsidRPr="00000000" w14:paraId="00000026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SC1345</w:t>
            </w:r>
          </w:p>
        </w:tc>
        <w:tc>
          <w:tcPr/>
          <w:p w:rsidR="00000000" w:rsidDel="00000000" w:rsidP="00000000" w:rsidRDefault="00000000" w:rsidRPr="00000000" w14:paraId="00000027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Mali</w:t>
            </w:r>
          </w:p>
        </w:tc>
        <w:tc>
          <w:tcPr/>
          <w:p w:rsidR="00000000" w:rsidDel="00000000" w:rsidP="00000000" w:rsidRDefault="00000000" w:rsidRPr="00000000" w14:paraId="00000028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29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231</w:t>
            </w:r>
          </w:p>
        </w:tc>
      </w:tr>
      <w:tr>
        <w:tc>
          <w:tcPr/>
          <w:p w:rsidR="00000000" w:rsidDel="00000000" w:rsidP="00000000" w:rsidRDefault="00000000" w:rsidRPr="00000000" w14:paraId="0000002A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SC265</w:t>
            </w:r>
          </w:p>
        </w:tc>
        <w:tc>
          <w:tcPr/>
          <w:p w:rsidR="00000000" w:rsidDel="00000000" w:rsidP="00000000" w:rsidRDefault="00000000" w:rsidRPr="00000000" w14:paraId="0000002B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Burkina Faso</w:t>
            </w:r>
          </w:p>
        </w:tc>
        <w:tc>
          <w:tcPr/>
          <w:p w:rsidR="00000000" w:rsidDel="00000000" w:rsidP="00000000" w:rsidRDefault="00000000" w:rsidRPr="00000000" w14:paraId="0000002C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2D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232</w:t>
            </w:r>
          </w:p>
        </w:tc>
      </w:tr>
      <w:tr>
        <w:tc>
          <w:tcPr/>
          <w:p w:rsidR="00000000" w:rsidDel="00000000" w:rsidP="00000000" w:rsidRDefault="00000000" w:rsidRPr="00000000" w14:paraId="0000002E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SC283</w:t>
            </w:r>
          </w:p>
        </w:tc>
        <w:tc>
          <w:tcPr/>
          <w:p w:rsidR="00000000" w:rsidDel="00000000" w:rsidP="00000000" w:rsidRDefault="00000000" w:rsidRPr="00000000" w14:paraId="0000002F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Tanzania</w:t>
            </w:r>
          </w:p>
        </w:tc>
        <w:tc>
          <w:tcPr/>
          <w:p w:rsidR="00000000" w:rsidDel="00000000" w:rsidP="00000000" w:rsidRDefault="00000000" w:rsidRPr="00000000" w14:paraId="00000030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31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223</w:t>
            </w:r>
          </w:p>
        </w:tc>
      </w:tr>
      <w:tr>
        <w:tc>
          <w:tcPr/>
          <w:p w:rsidR="00000000" w:rsidDel="00000000" w:rsidP="00000000" w:rsidRDefault="00000000" w:rsidRPr="00000000" w14:paraId="00000032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SC35</w:t>
            </w:r>
          </w:p>
        </w:tc>
        <w:tc>
          <w:tcPr/>
          <w:p w:rsidR="00000000" w:rsidDel="00000000" w:rsidP="00000000" w:rsidRDefault="00000000" w:rsidRPr="00000000" w14:paraId="00000033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Ethiopia</w:t>
            </w:r>
          </w:p>
        </w:tc>
        <w:tc>
          <w:tcPr/>
          <w:p w:rsidR="00000000" w:rsidDel="00000000" w:rsidP="00000000" w:rsidRDefault="00000000" w:rsidRPr="00000000" w14:paraId="00000034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35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208</w:t>
            </w:r>
          </w:p>
        </w:tc>
      </w:tr>
      <w:tr>
        <w:tc>
          <w:tcPr/>
          <w:p w:rsidR="00000000" w:rsidDel="00000000" w:rsidP="00000000" w:rsidRDefault="00000000" w:rsidRPr="00000000" w14:paraId="00000036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SC971</w:t>
            </w:r>
          </w:p>
        </w:tc>
        <w:tc>
          <w:tcPr/>
          <w:p w:rsidR="00000000" w:rsidDel="00000000" w:rsidP="00000000" w:rsidRDefault="00000000" w:rsidRPr="00000000" w14:paraId="00000037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Puerto Rico, United States</w:t>
            </w:r>
          </w:p>
        </w:tc>
        <w:tc>
          <w:tcPr/>
          <w:p w:rsidR="00000000" w:rsidDel="00000000" w:rsidP="00000000" w:rsidRDefault="00000000" w:rsidRPr="00000000" w14:paraId="00000038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39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233</w:t>
            </w:r>
          </w:p>
        </w:tc>
      </w:tr>
      <w:tr>
        <w:tc>
          <w:tcPr/>
          <w:p w:rsidR="00000000" w:rsidDel="00000000" w:rsidP="00000000" w:rsidRDefault="00000000" w:rsidRPr="00000000" w14:paraId="0000003A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Segaolane</w:t>
            </w:r>
          </w:p>
        </w:tc>
        <w:tc>
          <w:tcPr/>
          <w:p w:rsidR="00000000" w:rsidDel="00000000" w:rsidP="00000000" w:rsidRDefault="00000000" w:rsidRPr="00000000" w14:paraId="0000003B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Botswana</w:t>
            </w:r>
          </w:p>
        </w:tc>
        <w:tc>
          <w:tcPr/>
          <w:p w:rsidR="00000000" w:rsidDel="00000000" w:rsidP="00000000" w:rsidRDefault="00000000" w:rsidRPr="00000000" w14:paraId="0000003C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Diverse Founder</w:t>
            </w:r>
          </w:p>
        </w:tc>
        <w:tc>
          <w:tcPr/>
          <w:p w:rsidR="00000000" w:rsidDel="00000000" w:rsidP="00000000" w:rsidRDefault="00000000" w:rsidRPr="00000000" w14:paraId="0000003D">
            <w:pPr>
              <w:keepNext w:val="1"/>
              <w:keepLines w:val="1"/>
              <w:rPr>
                <w:rFonts w:ascii="Times New Roman" w:cs="Times New Roman" w:eastAsia="Times New Roman" w:hAnsi="Times New Roman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rtl w:val="0"/>
              </w:rPr>
              <w:t xml:space="preserve">204</w:t>
            </w:r>
          </w:p>
        </w:tc>
      </w:tr>
    </w:tbl>
    <w:p w:rsidR="00000000" w:rsidDel="00000000" w:rsidP="00000000" w:rsidRDefault="00000000" w:rsidRPr="00000000" w14:paraId="0000003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Table S2: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Within-family and across population additive effect size (AES) for QTL identified using joint linkage mapping with marker nested within family (NJL) and joint linkage with no nesting (JL).</w:t>
      </w:r>
    </w:p>
    <w:tbl>
      <w:tblPr>
        <w:tblStyle w:val="Table2"/>
        <w:tblW w:w="8880.0" w:type="dxa"/>
        <w:jc w:val="center"/>
        <w:tblBorders>
          <w:top w:color="000000" w:space="0" w:sz="4" w:val="single"/>
          <w:left w:color="000000" w:space="0" w:sz="0" w:val="nil"/>
          <w:bottom w:color="000000" w:space="0" w:sz="4" w:val="single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900"/>
        <w:gridCol w:w="900"/>
        <w:gridCol w:w="1005"/>
        <w:gridCol w:w="1200"/>
        <w:gridCol w:w="1860"/>
        <w:gridCol w:w="1515"/>
        <w:gridCol w:w="1500"/>
        <w:tblGridChange w:id="0">
          <w:tblGrid>
            <w:gridCol w:w="900"/>
            <w:gridCol w:w="900"/>
            <w:gridCol w:w="1005"/>
            <w:gridCol w:w="1200"/>
            <w:gridCol w:w="1860"/>
            <w:gridCol w:w="1515"/>
            <w:gridCol w:w="1500"/>
          </w:tblGrid>
        </w:tblGridChange>
      </w:tblGrid>
      <w:t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2">
            <w:pPr>
              <w:jc w:val="left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Trait</w:t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3">
            <w:pPr>
              <w:jc w:val="left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Model</w:t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4">
            <w:pPr>
              <w:jc w:val="left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Number of QTL</w:t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5">
            <w:pPr>
              <w:jc w:val="left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Trait Mean (mm)</w:t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6">
            <w:pPr>
              <w:jc w:val="left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Range of WF-AES (mm)</w:t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7">
            <w:pPr>
              <w:jc w:val="left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Range of AP-AES (mm)</w:t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48">
            <w:pPr>
              <w:jc w:val="left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Range of PVE (%)</w:t>
            </w:r>
          </w:p>
        </w:tc>
      </w:tr>
      <w:tr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49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LBL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4A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NJL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4B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14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4C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85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4D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-30–16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4E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-4–2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4F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0.1–2.0</w:t>
            </w:r>
          </w:p>
        </w:tc>
      </w:tr>
      <w:tr>
        <w:tc>
          <w:tcPr/>
          <w:p w:rsidR="00000000" w:rsidDel="00000000" w:rsidP="00000000" w:rsidRDefault="00000000" w:rsidRPr="00000000" w14:paraId="00000050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LBL</w:t>
            </w:r>
          </w:p>
        </w:tc>
        <w:tc>
          <w:tcPr/>
          <w:p w:rsidR="00000000" w:rsidDel="00000000" w:rsidP="00000000" w:rsidRDefault="00000000" w:rsidRPr="00000000" w14:paraId="00000051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JL</w:t>
            </w:r>
          </w:p>
        </w:tc>
        <w:tc>
          <w:tcPr/>
          <w:p w:rsidR="00000000" w:rsidDel="00000000" w:rsidP="00000000" w:rsidRDefault="00000000" w:rsidRPr="00000000" w14:paraId="00000052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21</w:t>
            </w:r>
          </w:p>
        </w:tc>
        <w:tc>
          <w:tcPr/>
          <w:p w:rsidR="00000000" w:rsidDel="00000000" w:rsidP="00000000" w:rsidRDefault="00000000" w:rsidRPr="00000000" w14:paraId="00000053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</w:t>
            </w:r>
          </w:p>
        </w:tc>
        <w:tc>
          <w:tcPr/>
          <w:p w:rsidR="00000000" w:rsidDel="00000000" w:rsidP="00000000" w:rsidRDefault="00000000" w:rsidRPr="00000000" w14:paraId="00000054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-26–19</w:t>
            </w:r>
          </w:p>
        </w:tc>
        <w:tc>
          <w:tcPr/>
          <w:p w:rsidR="00000000" w:rsidDel="00000000" w:rsidP="00000000" w:rsidRDefault="00000000" w:rsidRPr="00000000" w14:paraId="00000055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-12–8</w:t>
            </w:r>
          </w:p>
        </w:tc>
        <w:tc>
          <w:tcPr/>
          <w:p w:rsidR="00000000" w:rsidDel="00000000" w:rsidP="00000000" w:rsidRDefault="00000000" w:rsidRPr="00000000" w14:paraId="00000056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0.6–5.0</w:t>
            </w:r>
          </w:p>
        </w:tc>
      </w:tr>
      <w:tr>
        <w:tc>
          <w:tcPr/>
          <w:p w:rsidR="00000000" w:rsidDel="00000000" w:rsidP="00000000" w:rsidRDefault="00000000" w:rsidRPr="00000000" w14:paraId="00000057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UBL</w:t>
            </w:r>
          </w:p>
        </w:tc>
        <w:tc>
          <w:tcPr/>
          <w:p w:rsidR="00000000" w:rsidDel="00000000" w:rsidP="00000000" w:rsidRDefault="00000000" w:rsidRPr="00000000" w14:paraId="00000058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NJL</w:t>
            </w:r>
          </w:p>
        </w:tc>
        <w:tc>
          <w:tcPr/>
          <w:p w:rsidR="00000000" w:rsidDel="00000000" w:rsidP="00000000" w:rsidRDefault="00000000" w:rsidRPr="00000000" w14:paraId="00000059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5A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49</w:t>
            </w:r>
          </w:p>
        </w:tc>
        <w:tc>
          <w:tcPr/>
          <w:p w:rsidR="00000000" w:rsidDel="00000000" w:rsidP="00000000" w:rsidRDefault="00000000" w:rsidRPr="00000000" w14:paraId="0000005B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- 29.0–0</w:t>
            </w:r>
          </w:p>
        </w:tc>
        <w:tc>
          <w:tcPr/>
          <w:p w:rsidR="00000000" w:rsidDel="00000000" w:rsidP="00000000" w:rsidRDefault="00000000" w:rsidRPr="00000000" w14:paraId="0000005C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-4</w:t>
            </w:r>
          </w:p>
        </w:tc>
        <w:tc>
          <w:tcPr/>
          <w:p w:rsidR="00000000" w:rsidDel="00000000" w:rsidP="00000000" w:rsidRDefault="00000000" w:rsidRPr="00000000" w14:paraId="0000005D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3.0</w:t>
            </w:r>
          </w:p>
        </w:tc>
      </w:tr>
      <w:tr>
        <w:tc>
          <w:tcPr/>
          <w:p w:rsidR="00000000" w:rsidDel="00000000" w:rsidP="00000000" w:rsidRDefault="00000000" w:rsidRPr="00000000" w14:paraId="0000005E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UBL</w:t>
            </w:r>
          </w:p>
        </w:tc>
        <w:tc>
          <w:tcPr/>
          <w:p w:rsidR="00000000" w:rsidDel="00000000" w:rsidP="00000000" w:rsidRDefault="00000000" w:rsidRPr="00000000" w14:paraId="0000005F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JL</w:t>
            </w:r>
          </w:p>
        </w:tc>
        <w:tc>
          <w:tcPr/>
          <w:p w:rsidR="00000000" w:rsidDel="00000000" w:rsidP="00000000" w:rsidRDefault="00000000" w:rsidRPr="00000000" w14:paraId="00000060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17</w:t>
            </w:r>
          </w:p>
        </w:tc>
        <w:tc>
          <w:tcPr/>
          <w:p w:rsidR="00000000" w:rsidDel="00000000" w:rsidP="00000000" w:rsidRDefault="00000000" w:rsidRPr="00000000" w14:paraId="00000061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</w:t>
            </w:r>
          </w:p>
        </w:tc>
        <w:tc>
          <w:tcPr/>
          <w:p w:rsidR="00000000" w:rsidDel="00000000" w:rsidP="00000000" w:rsidRDefault="00000000" w:rsidRPr="00000000" w14:paraId="00000062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-33–5</w:t>
            </w:r>
          </w:p>
        </w:tc>
        <w:tc>
          <w:tcPr/>
          <w:p w:rsidR="00000000" w:rsidDel="00000000" w:rsidP="00000000" w:rsidRDefault="00000000" w:rsidRPr="00000000" w14:paraId="00000063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-11–2</w:t>
            </w:r>
          </w:p>
        </w:tc>
        <w:tc>
          <w:tcPr/>
          <w:p w:rsidR="00000000" w:rsidDel="00000000" w:rsidP="00000000" w:rsidRDefault="00000000" w:rsidRPr="00000000" w14:paraId="00000064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0.6–4.0</w:t>
            </w:r>
          </w:p>
        </w:tc>
      </w:tr>
      <w:tr>
        <w:tc>
          <w:tcPr/>
          <w:p w:rsidR="00000000" w:rsidDel="00000000" w:rsidP="00000000" w:rsidRDefault="00000000" w:rsidRPr="00000000" w14:paraId="00000065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RL</w:t>
            </w:r>
          </w:p>
        </w:tc>
        <w:tc>
          <w:tcPr/>
          <w:p w:rsidR="00000000" w:rsidDel="00000000" w:rsidP="00000000" w:rsidRDefault="00000000" w:rsidRPr="00000000" w14:paraId="00000066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NJL</w:t>
            </w:r>
          </w:p>
        </w:tc>
        <w:tc>
          <w:tcPr/>
          <w:p w:rsidR="00000000" w:rsidDel="00000000" w:rsidP="00000000" w:rsidRDefault="00000000" w:rsidRPr="00000000" w14:paraId="00000067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16</w:t>
            </w:r>
          </w:p>
        </w:tc>
        <w:tc>
          <w:tcPr/>
          <w:p w:rsidR="00000000" w:rsidDel="00000000" w:rsidP="00000000" w:rsidRDefault="00000000" w:rsidRPr="00000000" w14:paraId="00000068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276</w:t>
            </w:r>
          </w:p>
        </w:tc>
        <w:tc>
          <w:tcPr/>
          <w:p w:rsidR="00000000" w:rsidDel="00000000" w:rsidP="00000000" w:rsidRDefault="00000000" w:rsidRPr="00000000" w14:paraId="00000069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-44–52</w:t>
            </w:r>
          </w:p>
        </w:tc>
        <w:tc>
          <w:tcPr/>
          <w:p w:rsidR="00000000" w:rsidDel="00000000" w:rsidP="00000000" w:rsidRDefault="00000000" w:rsidRPr="00000000" w14:paraId="0000006A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-10–12</w:t>
            </w:r>
          </w:p>
        </w:tc>
        <w:tc>
          <w:tcPr/>
          <w:p w:rsidR="00000000" w:rsidDel="00000000" w:rsidP="00000000" w:rsidRDefault="00000000" w:rsidRPr="00000000" w14:paraId="0000006B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0.1–3.0</w:t>
            </w:r>
          </w:p>
        </w:tc>
      </w:tr>
      <w:tr>
        <w:tc>
          <w:tcPr/>
          <w:p w:rsidR="00000000" w:rsidDel="00000000" w:rsidP="00000000" w:rsidRDefault="00000000" w:rsidRPr="00000000" w14:paraId="0000006C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RL</w:t>
            </w:r>
          </w:p>
        </w:tc>
        <w:tc>
          <w:tcPr/>
          <w:p w:rsidR="00000000" w:rsidDel="00000000" w:rsidP="00000000" w:rsidRDefault="00000000" w:rsidRPr="00000000" w14:paraId="0000006D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JL</w:t>
            </w:r>
          </w:p>
        </w:tc>
        <w:tc>
          <w:tcPr/>
          <w:p w:rsidR="00000000" w:rsidDel="00000000" w:rsidP="00000000" w:rsidRDefault="00000000" w:rsidRPr="00000000" w14:paraId="0000006E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22</w:t>
            </w:r>
          </w:p>
        </w:tc>
        <w:tc>
          <w:tcPr/>
          <w:p w:rsidR="00000000" w:rsidDel="00000000" w:rsidP="00000000" w:rsidRDefault="00000000" w:rsidRPr="00000000" w14:paraId="0000006F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</w:t>
            </w:r>
          </w:p>
        </w:tc>
        <w:tc>
          <w:tcPr/>
          <w:p w:rsidR="00000000" w:rsidDel="00000000" w:rsidP="00000000" w:rsidRDefault="00000000" w:rsidRPr="00000000" w14:paraId="00000070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-49.5–52</w:t>
            </w:r>
          </w:p>
        </w:tc>
        <w:tc>
          <w:tcPr/>
          <w:p w:rsidR="00000000" w:rsidDel="00000000" w:rsidP="00000000" w:rsidRDefault="00000000" w:rsidRPr="00000000" w14:paraId="00000071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-20–20</w:t>
            </w:r>
          </w:p>
        </w:tc>
        <w:tc>
          <w:tcPr/>
          <w:p w:rsidR="00000000" w:rsidDel="00000000" w:rsidP="00000000" w:rsidRDefault="00000000" w:rsidRPr="00000000" w14:paraId="00000072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0.6–3.0</w:t>
            </w:r>
          </w:p>
        </w:tc>
      </w:tr>
      <w:tr>
        <w:tc>
          <w:tcPr/>
          <w:p w:rsidR="00000000" w:rsidDel="00000000" w:rsidP="00000000" w:rsidRDefault="00000000" w:rsidRPr="00000000" w14:paraId="00000073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RD</w:t>
            </w:r>
          </w:p>
        </w:tc>
        <w:tc>
          <w:tcPr/>
          <w:p w:rsidR="00000000" w:rsidDel="00000000" w:rsidP="00000000" w:rsidRDefault="00000000" w:rsidRPr="00000000" w14:paraId="00000074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NJL</w:t>
            </w:r>
          </w:p>
        </w:tc>
        <w:tc>
          <w:tcPr/>
          <w:p w:rsidR="00000000" w:rsidDel="00000000" w:rsidP="00000000" w:rsidRDefault="00000000" w:rsidRPr="00000000" w14:paraId="00000075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76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77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-2.0–1</w:t>
            </w:r>
          </w:p>
        </w:tc>
        <w:tc>
          <w:tcPr/>
          <w:p w:rsidR="00000000" w:rsidDel="00000000" w:rsidP="00000000" w:rsidRDefault="00000000" w:rsidRPr="00000000" w14:paraId="00000078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-0.4–0.2</w:t>
            </w:r>
          </w:p>
        </w:tc>
        <w:tc>
          <w:tcPr/>
          <w:p w:rsidR="00000000" w:rsidDel="00000000" w:rsidP="00000000" w:rsidRDefault="00000000" w:rsidRPr="00000000" w14:paraId="00000079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0.1–1.0</w:t>
            </w:r>
          </w:p>
        </w:tc>
      </w:tr>
      <w:tr>
        <w:tc>
          <w:tcPr/>
          <w:p w:rsidR="00000000" w:rsidDel="00000000" w:rsidP="00000000" w:rsidRDefault="00000000" w:rsidRPr="00000000" w14:paraId="0000007A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RD</w:t>
            </w:r>
          </w:p>
        </w:tc>
        <w:tc>
          <w:tcPr/>
          <w:p w:rsidR="00000000" w:rsidDel="00000000" w:rsidP="00000000" w:rsidRDefault="00000000" w:rsidRPr="00000000" w14:paraId="0000007B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JL</w:t>
            </w:r>
          </w:p>
        </w:tc>
        <w:tc>
          <w:tcPr/>
          <w:p w:rsidR="00000000" w:rsidDel="00000000" w:rsidP="00000000" w:rsidRDefault="00000000" w:rsidRPr="00000000" w14:paraId="0000007C">
            <w:pPr>
              <w:keepNext w:val="1"/>
              <w:keepLines w:val="1"/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21</w:t>
            </w:r>
          </w:p>
        </w:tc>
        <w:tc>
          <w:tcPr/>
          <w:p w:rsidR="00000000" w:rsidDel="00000000" w:rsidP="00000000" w:rsidRDefault="00000000" w:rsidRPr="00000000" w14:paraId="0000007D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</w:t>
            </w:r>
          </w:p>
        </w:tc>
        <w:tc>
          <w:tcPr/>
          <w:p w:rsidR="00000000" w:rsidDel="00000000" w:rsidP="00000000" w:rsidRDefault="00000000" w:rsidRPr="00000000" w14:paraId="0000007E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-2.4–1</w:t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7F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-0.9–1.5</w:t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80">
            <w:pPr>
              <w:rPr>
                <w:rFonts w:ascii="Times New Roman" w:cs="Times New Roman" w:eastAsia="Times New Roman" w:hAnsi="Times New Roman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0"/>
                <w:szCs w:val="20"/>
                <w:rtl w:val="0"/>
              </w:rPr>
              <w:t xml:space="preserve">0.2–1.0</w:t>
            </w:r>
          </w:p>
        </w:tc>
      </w:tr>
    </w:tbl>
    <w:p w:rsidR="00000000" w:rsidDel="00000000" w:rsidP="00000000" w:rsidRDefault="00000000" w:rsidRPr="00000000" w14:paraId="00000081">
      <w:pPr>
        <w:rPr>
          <w:rFonts w:ascii="Times New Roman" w:cs="Times New Roman" w:eastAsia="Times New Roman" w:hAnsi="Times New Roman"/>
          <w:sz w:val="20"/>
          <w:szCs w:val="20"/>
          <w:vertAlign w:val="superscrip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vertAlign w:val="superscript"/>
          <w:rtl w:val="0"/>
        </w:rPr>
        <w:t xml:space="preserve">a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Lower branch length (LBL), upper branch length (UBL), rachis length (RL), and rachis diameter (RD). </w:t>
      </w:r>
    </w:p>
    <w:p w:rsidR="00000000" w:rsidDel="00000000" w:rsidP="00000000" w:rsidRDefault="00000000" w:rsidRPr="00000000" w14:paraId="00000083">
      <w:pPr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vertAlign w:val="superscript"/>
          <w:rtl w:val="0"/>
        </w:rPr>
        <w:t xml:space="preserve">b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Quantitative trait loci (QTL). </w:t>
      </w:r>
    </w:p>
    <w:p w:rsidR="00000000" w:rsidDel="00000000" w:rsidP="00000000" w:rsidRDefault="00000000" w:rsidRPr="00000000" w14:paraId="00000084">
      <w:pPr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vertAlign w:val="superscript"/>
          <w:rtl w:val="0"/>
        </w:rPr>
        <w:t xml:space="preserve">c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Within Family Additive Effect Size (WF-AES), and Across Population Additive Effect Size (AP-AES). </w:t>
      </w:r>
    </w:p>
    <w:p w:rsidR="00000000" w:rsidDel="00000000" w:rsidP="00000000" w:rsidRDefault="00000000" w:rsidRPr="00000000" w14:paraId="00000085">
      <w:pPr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vertAlign w:val="superscript"/>
          <w:rtl w:val="0"/>
        </w:rPr>
        <w:t xml:space="preserve">d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Phenotypic Variation Explained (PVE).</w:t>
      </w:r>
    </w:p>
    <w:p w:rsidR="00000000" w:rsidDel="00000000" w:rsidP="00000000" w:rsidRDefault="00000000" w:rsidRPr="00000000" w14:paraId="00000086">
      <w:pPr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keepNext w:val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943600" cy="411480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1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after="20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Figure S1:  Examples of variation in sorghum inflorescence morphology.</w:t>
      </w:r>
    </w:p>
    <w:p w:rsidR="00000000" w:rsidDel="00000000" w:rsidP="00000000" w:rsidRDefault="00000000" w:rsidRPr="00000000" w14:paraId="0000008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(A) Open inflorescence morphology represented by SC1103 parent, (B) compact inflorescence morphology represented by Ajabsido parent, and (C) semi-compact inflorescence morphology as represented by RTx430 the common parent.</w:t>
      </w:r>
    </w:p>
    <w:p w:rsidR="00000000" w:rsidDel="00000000" w:rsidP="00000000" w:rsidRDefault="00000000" w:rsidRPr="00000000" w14:paraId="0000008B">
      <w:pPr>
        <w:keepNext w:val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943600" cy="4457700"/>
            <wp:effectExtent b="0" l="0" r="0" t="0"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spacing w:after="20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Figure S2: Sorghum inflorescence morphology traits.</w:t>
      </w:r>
    </w:p>
    <w:p w:rsidR="00000000" w:rsidDel="00000000" w:rsidP="00000000" w:rsidRDefault="00000000" w:rsidRPr="00000000" w14:paraId="0000008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after="20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keepNext w:val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395126" cy="6034149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5126" cy="60341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after="20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Figure S3: Details of joint linkage QTL mapping for lower branch length and rachis length.</w:t>
      </w:r>
    </w:p>
    <w:p w:rsidR="00000000" w:rsidDel="00000000" w:rsidP="00000000" w:rsidRDefault="00000000" w:rsidRPr="00000000" w14:paraId="0000009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Genome positions of loci and loci additive effect associated with lower branch length (A and B) and rachis length (C and D).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A priori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candidate genes that colocalize with QTL within 150 kb are noted. Black text indicates putative sorghum orthologs of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a priori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candidate genes while gray text indicates paralogs.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after="200" w:lineRule="auto"/>
        <w:rPr>
          <w:rFonts w:ascii="Times New Roman" w:cs="Times New Roman" w:eastAsia="Times New Roman" w:hAnsi="Times New Roman"/>
          <w:b w:val="1"/>
          <w:color w:val="4f81bd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keepNext w:val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795562" cy="6441941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95562" cy="64419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pacing w:after="20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Figure S4: Details of joint linkage QTL mapping for upper branch length and rachis diameter.</w:t>
      </w:r>
    </w:p>
    <w:p w:rsidR="00000000" w:rsidDel="00000000" w:rsidP="00000000" w:rsidRDefault="00000000" w:rsidRPr="00000000" w14:paraId="00000097">
      <w:pPr>
        <w:spacing w:after="0" w:lineRule="auto"/>
        <w:rPr/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Genome positions of loci and loci additive effect for upper branch length (A and B) and rachis diameter (C and D).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A priori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candidate genes that colocalize with QTL within 150 kb are noted. Black text indicates putative sorghum orthologs of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a priori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candidate genes while gray text indicates paralogs.</w:t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rPr>
      <w:color w:val="000000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color w:val="000000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2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hyperlink" Target="mailto:gpmorris@k-state.edu" TargetMode="External"/><Relationship Id="rId7" Type="http://schemas.openxmlformats.org/officeDocument/2006/relationships/image" Target="media/image4.pn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